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591E" w14:textId="77777777" w:rsidR="00C875A3" w:rsidRDefault="00C875A3" w:rsidP="00C875A3">
      <w:pPr>
        <w:pStyle w:val="Heading1"/>
        <w:kinsoku w:val="0"/>
        <w:overflowPunct w:val="0"/>
        <w:spacing w:before="120" w:after="120" w:line="274" w:lineRule="auto"/>
        <w:jc w:val="center"/>
        <w:rPr>
          <w:rFonts w:ascii="Arial" w:hAnsi="Arial" w:cs="Arial"/>
          <w:sz w:val="20"/>
          <w:szCs w:val="20"/>
          <w:lang w:val="en-GB"/>
        </w:rPr>
      </w:pPr>
    </w:p>
    <w:p w14:paraId="6140DEF3" w14:textId="167F49C2" w:rsidR="00C875A3" w:rsidRPr="00C875A3" w:rsidRDefault="00C875A3" w:rsidP="00C875A3">
      <w:pPr>
        <w:pStyle w:val="Heading1"/>
        <w:kinsoku w:val="0"/>
        <w:overflowPunct w:val="0"/>
        <w:spacing w:before="120" w:after="120" w:line="274" w:lineRule="auto"/>
        <w:jc w:val="center"/>
        <w:rPr>
          <w:rFonts w:ascii="Arial" w:hAnsi="Arial" w:cs="Arial"/>
          <w:b/>
          <w:bCs/>
          <w:sz w:val="20"/>
          <w:szCs w:val="20"/>
          <w:lang w:val="en-GB"/>
        </w:rPr>
      </w:pPr>
      <w:r w:rsidRPr="00C875A3">
        <w:rPr>
          <w:rFonts w:ascii="Arial" w:hAnsi="Arial" w:cs="Arial"/>
          <w:b/>
          <w:bCs/>
          <w:sz w:val="20"/>
          <w:szCs w:val="20"/>
          <w:lang w:val="en-GB"/>
        </w:rPr>
        <w:t>FINAL TERMS FOR THE BONDS</w:t>
      </w:r>
    </w:p>
    <w:p w14:paraId="10B5EAB8" w14:textId="6BD8A410" w:rsidR="00C875A3" w:rsidRPr="00E96357" w:rsidRDefault="00364CE9" w:rsidP="00C875A3">
      <w:pPr>
        <w:pStyle w:val="BodyText"/>
        <w:kinsoku w:val="0"/>
        <w:overflowPunct w:val="0"/>
        <w:spacing w:before="120" w:after="120" w:line="274" w:lineRule="auto"/>
        <w:ind w:left="0"/>
        <w:jc w:val="center"/>
        <w:rPr>
          <w:rFonts w:ascii="Arial" w:hAnsi="Arial" w:cs="Arial"/>
          <w:sz w:val="20"/>
          <w:szCs w:val="20"/>
          <w:lang w:val="en-GB"/>
        </w:rPr>
      </w:pPr>
      <w:r w:rsidRPr="00606048">
        <w:rPr>
          <w:rFonts w:ascii="Arial" w:hAnsi="Arial" w:cs="Arial"/>
          <w:sz w:val="20"/>
          <w:szCs w:val="20"/>
          <w:lang w:val="en-GB"/>
        </w:rPr>
        <w:t>1</w:t>
      </w:r>
      <w:r w:rsidR="00F33CD1" w:rsidRPr="00606048">
        <w:rPr>
          <w:rFonts w:ascii="Arial" w:hAnsi="Arial" w:cs="Arial"/>
          <w:sz w:val="20"/>
          <w:szCs w:val="20"/>
          <w:lang w:val="en-GB"/>
        </w:rPr>
        <w:t>3</w:t>
      </w:r>
      <w:r w:rsidR="00C875A3" w:rsidRPr="00606048">
        <w:rPr>
          <w:rFonts w:ascii="Arial" w:hAnsi="Arial" w:cs="Arial"/>
          <w:sz w:val="20"/>
          <w:szCs w:val="20"/>
          <w:lang w:val="en-GB"/>
        </w:rPr>
        <w:t>.</w:t>
      </w:r>
      <w:r w:rsidR="00C7704A" w:rsidRPr="00606048">
        <w:rPr>
          <w:rFonts w:ascii="Arial" w:hAnsi="Arial" w:cs="Arial"/>
          <w:sz w:val="20"/>
          <w:szCs w:val="20"/>
          <w:lang w:val="en-GB"/>
        </w:rPr>
        <w:t>0</w:t>
      </w:r>
      <w:r w:rsidRPr="00606048">
        <w:rPr>
          <w:rFonts w:ascii="Arial" w:hAnsi="Arial" w:cs="Arial"/>
          <w:sz w:val="20"/>
          <w:szCs w:val="20"/>
          <w:lang w:val="en-GB"/>
        </w:rPr>
        <w:t>5</w:t>
      </w:r>
      <w:r w:rsidR="00C875A3" w:rsidRPr="00974B0A">
        <w:rPr>
          <w:rFonts w:ascii="Arial" w:hAnsi="Arial" w:cs="Arial"/>
          <w:sz w:val="20"/>
          <w:szCs w:val="20"/>
          <w:lang w:val="en-GB"/>
        </w:rPr>
        <w:t>.2021</w:t>
      </w:r>
    </w:p>
    <w:p w14:paraId="2DFA5189" w14:textId="29887AEF" w:rsidR="00C875A3" w:rsidRPr="00C875A3" w:rsidRDefault="00C875A3" w:rsidP="00C875A3">
      <w:pPr>
        <w:pStyle w:val="Heading1"/>
        <w:kinsoku w:val="0"/>
        <w:overflowPunct w:val="0"/>
        <w:spacing w:before="120" w:after="120" w:line="274" w:lineRule="auto"/>
        <w:jc w:val="center"/>
        <w:rPr>
          <w:rFonts w:ascii="Arial" w:hAnsi="Arial" w:cs="Arial"/>
          <w:b/>
          <w:bCs/>
          <w:sz w:val="20"/>
          <w:szCs w:val="20"/>
          <w:lang w:val="en-GB"/>
        </w:rPr>
      </w:pPr>
      <w:r w:rsidRPr="00C875A3">
        <w:rPr>
          <w:rFonts w:ascii="Arial" w:hAnsi="Arial" w:cs="Arial"/>
          <w:b/>
          <w:bCs/>
          <w:sz w:val="20"/>
          <w:szCs w:val="20"/>
          <w:lang w:val="en-GB"/>
        </w:rPr>
        <w:t>ADMIRAL</w:t>
      </w:r>
      <w:r w:rsidR="00364CE9">
        <w:rPr>
          <w:rFonts w:ascii="Arial" w:hAnsi="Arial" w:cs="Arial"/>
          <w:b/>
          <w:bCs/>
          <w:sz w:val="20"/>
          <w:szCs w:val="20"/>
          <w:lang w:val="en-GB"/>
        </w:rPr>
        <w:t>S</w:t>
      </w:r>
      <w:r w:rsidRPr="00C875A3">
        <w:rPr>
          <w:rFonts w:ascii="Arial" w:hAnsi="Arial" w:cs="Arial"/>
          <w:b/>
          <w:bCs/>
          <w:sz w:val="20"/>
          <w:szCs w:val="20"/>
          <w:lang w:val="en-GB"/>
        </w:rPr>
        <w:t xml:space="preserve"> GROUP AS</w:t>
      </w:r>
    </w:p>
    <w:p w14:paraId="7716D38D" w14:textId="77777777" w:rsidR="00C875A3" w:rsidRPr="00E96357" w:rsidRDefault="00C875A3" w:rsidP="00C875A3">
      <w:pPr>
        <w:pStyle w:val="BodyText"/>
        <w:kinsoku w:val="0"/>
        <w:overflowPunct w:val="0"/>
        <w:spacing w:before="120" w:after="120" w:line="274" w:lineRule="auto"/>
        <w:ind w:left="0"/>
        <w:jc w:val="center"/>
        <w:rPr>
          <w:rFonts w:ascii="Arial" w:hAnsi="Arial" w:cs="Arial"/>
          <w:sz w:val="20"/>
          <w:szCs w:val="20"/>
          <w:lang w:val="en-GB"/>
        </w:rPr>
      </w:pPr>
      <w:r w:rsidRPr="00E96357">
        <w:rPr>
          <w:rFonts w:ascii="Arial" w:hAnsi="Arial" w:cs="Arial"/>
          <w:sz w:val="20"/>
          <w:szCs w:val="20"/>
          <w:lang w:val="en-GB"/>
        </w:rPr>
        <w:t>Issue of</w:t>
      </w:r>
    </w:p>
    <w:p w14:paraId="41BEBFCF" w14:textId="2AC90A32" w:rsidR="00C875A3" w:rsidRPr="00E96357" w:rsidRDefault="00C875A3" w:rsidP="00C875A3">
      <w:pPr>
        <w:pStyle w:val="BodyText"/>
        <w:kinsoku w:val="0"/>
        <w:overflowPunct w:val="0"/>
        <w:spacing w:before="120" w:after="120" w:line="274" w:lineRule="auto"/>
        <w:ind w:left="0"/>
        <w:jc w:val="center"/>
        <w:rPr>
          <w:rFonts w:ascii="Arial" w:hAnsi="Arial" w:cs="Arial"/>
          <w:sz w:val="20"/>
          <w:szCs w:val="20"/>
          <w:lang w:val="en-GB"/>
        </w:rPr>
      </w:pPr>
      <w:r>
        <w:rPr>
          <w:rFonts w:ascii="Arial" w:hAnsi="Arial" w:cs="Arial"/>
          <w:sz w:val="20"/>
          <w:szCs w:val="20"/>
          <w:lang w:val="en-GB"/>
        </w:rPr>
        <w:t>EUR 5,000,000</w:t>
      </w:r>
      <w:r>
        <w:rPr>
          <w:rStyle w:val="FootnoteReference"/>
        </w:rPr>
        <w:footnoteReference w:id="1"/>
      </w:r>
      <w:r w:rsidRPr="00E96357">
        <w:rPr>
          <w:rFonts w:ascii="Arial" w:hAnsi="Arial" w:cs="Arial"/>
          <w:sz w:val="20"/>
          <w:szCs w:val="20"/>
          <w:lang w:val="en-GB"/>
        </w:rPr>
        <w:t xml:space="preserve"> </w:t>
      </w:r>
      <w:r>
        <w:rPr>
          <w:rFonts w:ascii="Arial" w:hAnsi="Arial" w:cs="Arial"/>
          <w:sz w:val="20"/>
          <w:szCs w:val="20"/>
          <w:lang w:val="en-GB"/>
        </w:rPr>
        <w:t xml:space="preserve">Tier 2 </w:t>
      </w:r>
      <w:r w:rsidRPr="00E96357">
        <w:rPr>
          <w:rFonts w:ascii="Arial" w:hAnsi="Arial" w:cs="Arial"/>
          <w:sz w:val="20"/>
          <w:szCs w:val="20"/>
          <w:lang w:val="en-GB"/>
        </w:rPr>
        <w:t xml:space="preserve">Subordinated </w:t>
      </w:r>
      <w:r>
        <w:rPr>
          <w:rFonts w:ascii="Arial" w:hAnsi="Arial" w:cs="Arial"/>
          <w:sz w:val="20"/>
          <w:szCs w:val="20"/>
          <w:lang w:val="en-GB"/>
        </w:rPr>
        <w:t>Bonds</w:t>
      </w:r>
    </w:p>
    <w:p w14:paraId="4DD13E24" w14:textId="236B3E42" w:rsidR="00C875A3" w:rsidRDefault="00C875A3" w:rsidP="00C875A3">
      <w:pPr>
        <w:pStyle w:val="BodyText"/>
        <w:kinsoku w:val="0"/>
        <w:overflowPunct w:val="0"/>
        <w:spacing w:before="120" w:after="120" w:line="274" w:lineRule="auto"/>
        <w:ind w:left="0"/>
        <w:jc w:val="center"/>
        <w:rPr>
          <w:rFonts w:ascii="Arial" w:hAnsi="Arial" w:cs="Arial"/>
          <w:sz w:val="20"/>
          <w:szCs w:val="20"/>
          <w:lang w:val="en-GB"/>
        </w:rPr>
      </w:pPr>
      <w:r w:rsidRPr="00E96357">
        <w:rPr>
          <w:rFonts w:ascii="Arial" w:hAnsi="Arial" w:cs="Arial"/>
          <w:sz w:val="20"/>
          <w:szCs w:val="20"/>
          <w:lang w:val="en-GB"/>
        </w:rPr>
        <w:t xml:space="preserve">Issued under the EUR </w:t>
      </w:r>
      <w:r>
        <w:rPr>
          <w:rFonts w:ascii="Arial" w:hAnsi="Arial" w:cs="Arial"/>
          <w:sz w:val="20"/>
          <w:szCs w:val="20"/>
          <w:lang w:val="en-GB"/>
        </w:rPr>
        <w:t>15</w:t>
      </w:r>
      <w:r w:rsidRPr="00E96357">
        <w:rPr>
          <w:rFonts w:ascii="Arial" w:hAnsi="Arial" w:cs="Arial"/>
          <w:sz w:val="20"/>
          <w:szCs w:val="20"/>
          <w:lang w:val="en-GB"/>
        </w:rPr>
        <w:t>,000,000</w:t>
      </w:r>
      <w:r w:rsidRPr="00E96357">
        <w:rPr>
          <w:rFonts w:ascii="Arial" w:hAnsi="Arial" w:cs="Arial"/>
          <w:spacing w:val="-14"/>
          <w:sz w:val="20"/>
          <w:szCs w:val="20"/>
          <w:lang w:val="en-GB"/>
        </w:rPr>
        <w:t xml:space="preserve"> </w:t>
      </w:r>
      <w:r>
        <w:rPr>
          <w:rFonts w:ascii="Arial" w:hAnsi="Arial" w:cs="Arial"/>
          <w:sz w:val="20"/>
          <w:szCs w:val="20"/>
          <w:lang w:val="en-GB"/>
        </w:rPr>
        <w:t>Bonds</w:t>
      </w:r>
      <w:r w:rsidRPr="00E96357">
        <w:rPr>
          <w:rFonts w:ascii="Arial" w:hAnsi="Arial" w:cs="Arial"/>
          <w:spacing w:val="-15"/>
          <w:sz w:val="20"/>
          <w:szCs w:val="20"/>
          <w:lang w:val="en-GB"/>
        </w:rPr>
        <w:t xml:space="preserve"> </w:t>
      </w:r>
      <w:r w:rsidRPr="00E96357">
        <w:rPr>
          <w:rFonts w:ascii="Arial" w:hAnsi="Arial" w:cs="Arial"/>
          <w:sz w:val="20"/>
          <w:szCs w:val="20"/>
          <w:lang w:val="en-GB"/>
        </w:rPr>
        <w:t>Program</w:t>
      </w:r>
    </w:p>
    <w:p w14:paraId="64402817" w14:textId="77777777" w:rsidR="00C875A3" w:rsidRPr="00E96357" w:rsidRDefault="00C875A3" w:rsidP="00C875A3">
      <w:pPr>
        <w:pStyle w:val="BodyText"/>
        <w:kinsoku w:val="0"/>
        <w:overflowPunct w:val="0"/>
        <w:spacing w:before="120" w:after="120" w:line="274" w:lineRule="auto"/>
        <w:ind w:left="0"/>
        <w:jc w:val="center"/>
        <w:rPr>
          <w:rFonts w:ascii="Arial" w:hAnsi="Arial" w:cs="Arial"/>
          <w:sz w:val="20"/>
          <w:szCs w:val="20"/>
          <w:lang w:val="en-GB"/>
        </w:rPr>
      </w:pPr>
    </w:p>
    <w:p w14:paraId="6F49D207" w14:textId="77777777" w:rsidR="00C875A3" w:rsidRPr="0096590B" w:rsidRDefault="00C875A3" w:rsidP="00C875A3">
      <w:pPr>
        <w:pStyle w:val="BodyText"/>
        <w:kinsoku w:val="0"/>
        <w:overflowPunct w:val="0"/>
        <w:spacing w:before="120" w:after="120" w:line="274" w:lineRule="auto"/>
        <w:ind w:left="153"/>
        <w:rPr>
          <w:rFonts w:ascii="Arial" w:hAnsi="Arial" w:cs="Arial"/>
          <w:sz w:val="20"/>
          <w:szCs w:val="20"/>
          <w:lang w:val="en-GB"/>
        </w:rPr>
      </w:pPr>
      <w:r>
        <w:rPr>
          <w:rFonts w:ascii="Arial" w:hAnsi="Arial" w:cs="Arial"/>
          <w:sz w:val="20"/>
          <w:szCs w:val="20"/>
          <w:lang w:val="en-GB"/>
        </w:rPr>
        <w:t>Capitalised t</w:t>
      </w:r>
      <w:r w:rsidRPr="00E96357">
        <w:rPr>
          <w:rFonts w:ascii="Arial" w:hAnsi="Arial" w:cs="Arial"/>
          <w:sz w:val="20"/>
          <w:szCs w:val="20"/>
          <w:lang w:val="en-GB"/>
        </w:rPr>
        <w:t xml:space="preserve">erms used </w:t>
      </w:r>
      <w:r>
        <w:rPr>
          <w:rFonts w:ascii="Arial" w:hAnsi="Arial" w:cs="Arial"/>
          <w:sz w:val="20"/>
          <w:szCs w:val="20"/>
          <w:lang w:val="en-GB"/>
        </w:rPr>
        <w:t>herein shall bear the meaning assigned to such terms in the</w:t>
      </w:r>
      <w:r w:rsidRPr="00E96357">
        <w:rPr>
          <w:rFonts w:ascii="Arial" w:hAnsi="Arial" w:cs="Arial"/>
          <w:sz w:val="20"/>
          <w:szCs w:val="20"/>
          <w:lang w:val="en-GB"/>
        </w:rPr>
        <w:t xml:space="preserve"> </w:t>
      </w:r>
      <w:r>
        <w:rPr>
          <w:rFonts w:ascii="Arial" w:hAnsi="Arial" w:cs="Arial"/>
          <w:sz w:val="20"/>
          <w:szCs w:val="20"/>
          <w:lang w:val="en-GB"/>
        </w:rPr>
        <w:t>T</w:t>
      </w:r>
      <w:r w:rsidRPr="00E96357">
        <w:rPr>
          <w:rFonts w:ascii="Arial" w:hAnsi="Arial" w:cs="Arial"/>
          <w:sz w:val="20"/>
          <w:szCs w:val="20"/>
          <w:lang w:val="en-GB"/>
        </w:rPr>
        <w:t xml:space="preserve">erms and </w:t>
      </w:r>
      <w:r>
        <w:rPr>
          <w:rFonts w:ascii="Arial" w:hAnsi="Arial" w:cs="Arial"/>
          <w:sz w:val="20"/>
          <w:szCs w:val="20"/>
          <w:lang w:val="en-GB"/>
        </w:rPr>
        <w:t>C</w:t>
      </w:r>
      <w:r w:rsidRPr="00E96357">
        <w:rPr>
          <w:rFonts w:ascii="Arial" w:hAnsi="Arial" w:cs="Arial"/>
          <w:sz w:val="20"/>
          <w:szCs w:val="20"/>
          <w:lang w:val="en-GB"/>
        </w:rPr>
        <w:t xml:space="preserve">onditions of the </w:t>
      </w:r>
      <w:r>
        <w:rPr>
          <w:rFonts w:ascii="Arial" w:hAnsi="Arial" w:cs="Arial"/>
          <w:sz w:val="20"/>
          <w:szCs w:val="20"/>
          <w:lang w:val="en-GB"/>
        </w:rPr>
        <w:t>Bonds</w:t>
      </w:r>
      <w:r w:rsidRPr="00E96357">
        <w:rPr>
          <w:rFonts w:ascii="Arial" w:hAnsi="Arial" w:cs="Arial"/>
          <w:sz w:val="20"/>
          <w:szCs w:val="20"/>
          <w:lang w:val="en-GB"/>
        </w:rPr>
        <w:t>.</w:t>
      </w:r>
      <w:r>
        <w:rPr>
          <w:rFonts w:ascii="Arial" w:hAnsi="Arial" w:cs="Arial"/>
          <w:sz w:val="20"/>
          <w:szCs w:val="20"/>
          <w:lang w:val="en-GB"/>
        </w:rPr>
        <w:t xml:space="preserve"> These are the Final Terms for the purposes of the issue of the Bonds referred to herein.</w:t>
      </w:r>
    </w:p>
    <w:tbl>
      <w:tblPr>
        <w:tblStyle w:val="TableGrid"/>
        <w:tblW w:w="10040" w:type="dxa"/>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3649"/>
        <w:gridCol w:w="5663"/>
      </w:tblGrid>
      <w:tr w:rsidR="00C875A3" w:rsidRPr="00E96357" w14:paraId="3AE522E4" w14:textId="77777777" w:rsidTr="00845A52">
        <w:tc>
          <w:tcPr>
            <w:tcW w:w="728" w:type="dxa"/>
          </w:tcPr>
          <w:p w14:paraId="7E0B4668"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1. </w:t>
            </w:r>
          </w:p>
        </w:tc>
        <w:tc>
          <w:tcPr>
            <w:tcW w:w="3649" w:type="dxa"/>
          </w:tcPr>
          <w:p w14:paraId="11990B54"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Issuer</w:t>
            </w:r>
          </w:p>
        </w:tc>
        <w:tc>
          <w:tcPr>
            <w:tcW w:w="5663" w:type="dxa"/>
          </w:tcPr>
          <w:p w14:paraId="37545F9F" w14:textId="29D3A1C9"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Admiral</w:t>
            </w:r>
            <w:r w:rsidR="00606048">
              <w:rPr>
                <w:rFonts w:ascii="Arial" w:hAnsi="Arial" w:cs="Arial"/>
                <w:iCs/>
                <w:sz w:val="20"/>
                <w:szCs w:val="20"/>
                <w:lang w:val="en-GB"/>
              </w:rPr>
              <w:t>s</w:t>
            </w:r>
            <w:r>
              <w:rPr>
                <w:rFonts w:ascii="Arial" w:hAnsi="Arial" w:cs="Arial"/>
                <w:iCs/>
                <w:sz w:val="20"/>
                <w:szCs w:val="20"/>
                <w:lang w:val="en-GB"/>
              </w:rPr>
              <w:t xml:space="preserve"> Group AS</w:t>
            </w:r>
            <w:r w:rsidR="00606048">
              <w:rPr>
                <w:rFonts w:ascii="Arial" w:hAnsi="Arial" w:cs="Arial"/>
                <w:iCs/>
                <w:sz w:val="20"/>
                <w:szCs w:val="20"/>
                <w:lang w:val="en-GB"/>
              </w:rPr>
              <w:t xml:space="preserve"> (Former name: Admiral Markets Group AS)</w:t>
            </w:r>
          </w:p>
        </w:tc>
      </w:tr>
      <w:tr w:rsidR="00C875A3" w:rsidRPr="00E96357" w14:paraId="7F44FDE5" w14:textId="77777777" w:rsidTr="00845A52">
        <w:tc>
          <w:tcPr>
            <w:tcW w:w="728" w:type="dxa"/>
          </w:tcPr>
          <w:p w14:paraId="03784D4A"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2. </w:t>
            </w:r>
          </w:p>
        </w:tc>
        <w:tc>
          <w:tcPr>
            <w:tcW w:w="3649" w:type="dxa"/>
          </w:tcPr>
          <w:p w14:paraId="3939B5CC"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Series </w:t>
            </w:r>
            <w:r>
              <w:rPr>
                <w:rFonts w:ascii="Arial" w:hAnsi="Arial" w:cs="Arial"/>
                <w:iCs/>
                <w:sz w:val="20"/>
                <w:szCs w:val="20"/>
                <w:lang w:val="en-GB"/>
              </w:rPr>
              <w:t>n</w:t>
            </w:r>
            <w:r w:rsidRPr="00E96357">
              <w:rPr>
                <w:rFonts w:ascii="Arial" w:hAnsi="Arial" w:cs="Arial"/>
                <w:iCs/>
                <w:sz w:val="20"/>
                <w:szCs w:val="20"/>
                <w:lang w:val="en-GB"/>
              </w:rPr>
              <w:t>umber</w:t>
            </w:r>
          </w:p>
        </w:tc>
        <w:tc>
          <w:tcPr>
            <w:tcW w:w="5663" w:type="dxa"/>
          </w:tcPr>
          <w:p w14:paraId="76002980" w14:textId="158F825E"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sz w:val="20"/>
                <w:szCs w:val="20"/>
                <w:lang w:val="en-GB"/>
              </w:rPr>
              <w:t>A</w:t>
            </w:r>
            <w:r w:rsidR="00364CE9">
              <w:rPr>
                <w:rFonts w:ascii="Arial" w:hAnsi="Arial" w:cs="Arial"/>
                <w:sz w:val="20"/>
                <w:szCs w:val="20"/>
                <w:lang w:val="en-GB"/>
              </w:rPr>
              <w:t>2</w:t>
            </w:r>
          </w:p>
        </w:tc>
      </w:tr>
      <w:tr w:rsidR="00C875A3" w:rsidRPr="00E96357" w14:paraId="68986A29" w14:textId="77777777" w:rsidTr="00845A52">
        <w:tc>
          <w:tcPr>
            <w:tcW w:w="728" w:type="dxa"/>
          </w:tcPr>
          <w:p w14:paraId="14CD37B3"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3. </w:t>
            </w:r>
          </w:p>
        </w:tc>
        <w:tc>
          <w:tcPr>
            <w:tcW w:w="3649" w:type="dxa"/>
          </w:tcPr>
          <w:p w14:paraId="1FDE8B19"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Aggregate </w:t>
            </w:r>
            <w:r>
              <w:rPr>
                <w:rFonts w:ascii="Arial" w:hAnsi="Arial" w:cs="Arial"/>
                <w:iCs/>
                <w:sz w:val="20"/>
                <w:szCs w:val="20"/>
                <w:lang w:val="en-GB"/>
              </w:rPr>
              <w:t>Nominal Value of the Series</w:t>
            </w:r>
          </w:p>
        </w:tc>
        <w:tc>
          <w:tcPr>
            <w:tcW w:w="5663" w:type="dxa"/>
          </w:tcPr>
          <w:p w14:paraId="378AF2FB" w14:textId="57DE0CE6"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sz w:val="20"/>
                <w:szCs w:val="20"/>
                <w:lang w:val="en-GB"/>
              </w:rPr>
              <w:t xml:space="preserve">EUR 5,000,000. </w:t>
            </w:r>
            <w:r w:rsidRPr="00137877">
              <w:rPr>
                <w:rFonts w:ascii="Arial" w:hAnsi="Arial" w:cs="Arial"/>
                <w:sz w:val="20"/>
                <w:szCs w:val="20"/>
                <w:lang w:val="en-GB"/>
              </w:rPr>
              <w:t xml:space="preserve">The Aggregate </w:t>
            </w:r>
            <w:r>
              <w:rPr>
                <w:rFonts w:ascii="Arial" w:hAnsi="Arial" w:cs="Arial"/>
                <w:sz w:val="20"/>
                <w:szCs w:val="20"/>
                <w:lang w:val="en-GB"/>
              </w:rPr>
              <w:t>Nominal Value</w:t>
            </w:r>
            <w:r w:rsidRPr="00137877">
              <w:rPr>
                <w:rFonts w:ascii="Arial" w:hAnsi="Arial" w:cs="Arial"/>
                <w:sz w:val="20"/>
                <w:szCs w:val="20"/>
                <w:lang w:val="en-GB"/>
              </w:rPr>
              <w:t xml:space="preserve"> of the Series may be increased </w:t>
            </w:r>
            <w:r w:rsidR="00441EE2" w:rsidRPr="00137877">
              <w:rPr>
                <w:rFonts w:ascii="Arial" w:hAnsi="Arial" w:cs="Arial"/>
                <w:sz w:val="20"/>
                <w:szCs w:val="20"/>
                <w:lang w:val="en-GB"/>
              </w:rPr>
              <w:t xml:space="preserve">up to EUR </w:t>
            </w:r>
            <w:r w:rsidR="00441EE2">
              <w:rPr>
                <w:rFonts w:ascii="Arial" w:hAnsi="Arial" w:cs="Arial"/>
                <w:sz w:val="20"/>
                <w:szCs w:val="20"/>
                <w:lang w:val="en-GB"/>
              </w:rPr>
              <w:t xml:space="preserve">10,000,000 </w:t>
            </w:r>
            <w:r>
              <w:rPr>
                <w:rFonts w:ascii="Arial" w:hAnsi="Arial" w:cs="Arial"/>
                <w:sz w:val="20"/>
                <w:szCs w:val="20"/>
                <w:lang w:val="en-GB"/>
              </w:rPr>
              <w:t xml:space="preserve">or decreased </w:t>
            </w:r>
            <w:r w:rsidR="00260A6B" w:rsidRPr="00260A6B">
              <w:rPr>
                <w:rFonts w:ascii="Arial" w:hAnsi="Arial" w:cs="Arial"/>
                <w:sz w:val="20"/>
                <w:szCs w:val="20"/>
                <w:lang w:val="en-GB"/>
              </w:rPr>
              <w:t xml:space="preserve">or the offering may be cancelled </w:t>
            </w:r>
            <w:r w:rsidRPr="00137877">
              <w:rPr>
                <w:rFonts w:ascii="Arial" w:hAnsi="Arial" w:cs="Arial"/>
                <w:sz w:val="20"/>
                <w:szCs w:val="20"/>
                <w:lang w:val="en-GB"/>
              </w:rPr>
              <w:t xml:space="preserve">by the decision of the </w:t>
            </w:r>
            <w:r>
              <w:rPr>
                <w:rFonts w:ascii="Arial" w:hAnsi="Arial" w:cs="Arial"/>
                <w:sz w:val="20"/>
                <w:szCs w:val="20"/>
                <w:lang w:val="en-GB"/>
              </w:rPr>
              <w:t>Issuer</w:t>
            </w:r>
            <w:r w:rsidRPr="00137877">
              <w:rPr>
                <w:rFonts w:ascii="Arial" w:hAnsi="Arial" w:cs="Arial"/>
                <w:sz w:val="20"/>
                <w:szCs w:val="20"/>
                <w:lang w:val="en-GB"/>
              </w:rPr>
              <w:t xml:space="preserve"> until Issue Date (including</w:t>
            </w:r>
            <w:r w:rsidR="00441EE2">
              <w:rPr>
                <w:rFonts w:ascii="Arial" w:hAnsi="Arial" w:cs="Arial"/>
                <w:sz w:val="20"/>
                <w:szCs w:val="20"/>
                <w:lang w:val="en-GB"/>
              </w:rPr>
              <w:t>)</w:t>
            </w:r>
          </w:p>
        </w:tc>
      </w:tr>
      <w:tr w:rsidR="00C875A3" w:rsidRPr="00E96357" w14:paraId="302B919D" w14:textId="77777777" w:rsidTr="00845A52">
        <w:tc>
          <w:tcPr>
            <w:tcW w:w="728" w:type="dxa"/>
          </w:tcPr>
          <w:p w14:paraId="3A2DA513"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 xml:space="preserve">4. </w:t>
            </w:r>
          </w:p>
        </w:tc>
        <w:tc>
          <w:tcPr>
            <w:tcW w:w="3649" w:type="dxa"/>
          </w:tcPr>
          <w:p w14:paraId="04229F40"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Nominal Value</w:t>
            </w:r>
          </w:p>
        </w:tc>
        <w:tc>
          <w:tcPr>
            <w:tcW w:w="5663" w:type="dxa"/>
          </w:tcPr>
          <w:p w14:paraId="3F440975" w14:textId="5B623FA8" w:rsidR="00C875A3" w:rsidRDefault="00C875A3" w:rsidP="00845A52">
            <w:pPr>
              <w:pStyle w:val="BodyText"/>
              <w:kinsoku w:val="0"/>
              <w:overflowPunct w:val="0"/>
              <w:spacing w:before="120" w:after="120" w:line="274" w:lineRule="auto"/>
              <w:ind w:left="0"/>
              <w:rPr>
                <w:rFonts w:ascii="Arial" w:hAnsi="Arial" w:cs="Arial"/>
                <w:sz w:val="20"/>
                <w:szCs w:val="20"/>
                <w:lang w:val="en-GB"/>
              </w:rPr>
            </w:pPr>
            <w:r>
              <w:rPr>
                <w:rFonts w:ascii="Arial" w:hAnsi="Arial" w:cs="Arial"/>
                <w:sz w:val="20"/>
                <w:szCs w:val="20"/>
                <w:lang w:val="en-GB"/>
              </w:rPr>
              <w:t>EUR</w:t>
            </w:r>
            <w:r w:rsidR="00441EE2">
              <w:rPr>
                <w:rFonts w:ascii="Arial" w:hAnsi="Arial" w:cs="Arial"/>
                <w:sz w:val="20"/>
                <w:szCs w:val="20"/>
                <w:lang w:val="en-GB"/>
              </w:rPr>
              <w:t xml:space="preserve"> 100.00</w:t>
            </w:r>
          </w:p>
        </w:tc>
      </w:tr>
      <w:tr w:rsidR="00C875A3" w:rsidRPr="00E96357" w14:paraId="59185C88" w14:textId="77777777" w:rsidTr="00F33CD1">
        <w:tc>
          <w:tcPr>
            <w:tcW w:w="728" w:type="dxa"/>
          </w:tcPr>
          <w:p w14:paraId="127E1226"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5</w:t>
            </w:r>
            <w:r w:rsidRPr="00E96357">
              <w:rPr>
                <w:rFonts w:ascii="Arial" w:hAnsi="Arial" w:cs="Arial"/>
                <w:iCs/>
                <w:sz w:val="20"/>
                <w:szCs w:val="20"/>
                <w:lang w:val="en-GB"/>
              </w:rPr>
              <w:t xml:space="preserve">. </w:t>
            </w:r>
          </w:p>
        </w:tc>
        <w:tc>
          <w:tcPr>
            <w:tcW w:w="3649" w:type="dxa"/>
          </w:tcPr>
          <w:p w14:paraId="32989D5C" w14:textId="77777777" w:rsidR="00C875A3"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Issue Price</w:t>
            </w:r>
            <w:r>
              <w:rPr>
                <w:rStyle w:val="FootnoteReference"/>
                <w:rFonts w:ascii="Arial" w:hAnsi="Arial" w:cs="Arial"/>
                <w:iCs/>
                <w:sz w:val="20"/>
                <w:szCs w:val="20"/>
                <w:lang w:val="en-GB"/>
              </w:rPr>
              <w:footnoteReference w:id="2"/>
            </w:r>
          </w:p>
          <w:p w14:paraId="098AF4AE" w14:textId="32A72F3E" w:rsidR="00357561" w:rsidRPr="00E96357" w:rsidRDefault="00357561"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Yield to maturity based on Issue Price</w:t>
            </w:r>
          </w:p>
        </w:tc>
        <w:tc>
          <w:tcPr>
            <w:tcW w:w="5663" w:type="dxa"/>
            <w:shd w:val="clear" w:color="auto" w:fill="auto"/>
          </w:tcPr>
          <w:p w14:paraId="652F1436" w14:textId="0FF25F33" w:rsidR="00C875A3" w:rsidRPr="00F33CD1" w:rsidRDefault="00C875A3" w:rsidP="00845A52">
            <w:pPr>
              <w:pStyle w:val="BodyText"/>
              <w:kinsoku w:val="0"/>
              <w:overflowPunct w:val="0"/>
              <w:spacing w:before="120" w:after="120" w:line="274" w:lineRule="auto"/>
              <w:ind w:left="0"/>
              <w:rPr>
                <w:rFonts w:ascii="Arial" w:hAnsi="Arial" w:cs="Arial"/>
                <w:sz w:val="20"/>
                <w:szCs w:val="20"/>
                <w:lang w:val="en-GB"/>
              </w:rPr>
            </w:pPr>
            <w:r w:rsidRPr="00F33CD1">
              <w:rPr>
                <w:rFonts w:ascii="Arial" w:hAnsi="Arial" w:cs="Arial"/>
                <w:sz w:val="20"/>
                <w:szCs w:val="20"/>
                <w:lang w:val="en-GB"/>
              </w:rPr>
              <w:t xml:space="preserve">EUR </w:t>
            </w:r>
            <w:r w:rsidR="00441EE2" w:rsidRPr="00F33CD1">
              <w:rPr>
                <w:rFonts w:ascii="Arial" w:hAnsi="Arial" w:cs="Arial"/>
                <w:sz w:val="20"/>
                <w:szCs w:val="20"/>
                <w:lang w:val="en-GB"/>
              </w:rPr>
              <w:t>10</w:t>
            </w:r>
            <w:r w:rsidR="00F33CD1" w:rsidRPr="00F33CD1">
              <w:rPr>
                <w:rFonts w:ascii="Arial" w:hAnsi="Arial" w:cs="Arial"/>
                <w:sz w:val="20"/>
                <w:szCs w:val="20"/>
                <w:lang w:val="en-GB"/>
              </w:rPr>
              <w:t>3</w:t>
            </w:r>
            <w:r w:rsidR="00441EE2" w:rsidRPr="00F33CD1">
              <w:rPr>
                <w:rFonts w:ascii="Arial" w:hAnsi="Arial" w:cs="Arial"/>
                <w:sz w:val="20"/>
                <w:szCs w:val="20"/>
                <w:lang w:val="en-GB"/>
              </w:rPr>
              <w:t>.</w:t>
            </w:r>
            <w:r w:rsidR="00F33CD1" w:rsidRPr="00F33CD1">
              <w:rPr>
                <w:rFonts w:ascii="Arial" w:hAnsi="Arial" w:cs="Arial"/>
                <w:sz w:val="20"/>
                <w:szCs w:val="20"/>
                <w:lang w:val="en-GB"/>
              </w:rPr>
              <w:t>00</w:t>
            </w:r>
            <w:r w:rsidR="000F03AC" w:rsidRPr="00F33CD1">
              <w:rPr>
                <w:rFonts w:ascii="Arial" w:hAnsi="Arial" w:cs="Arial"/>
                <w:sz w:val="20"/>
                <w:szCs w:val="20"/>
                <w:lang w:val="en-GB"/>
              </w:rPr>
              <w:t xml:space="preserve"> (including accrued interest EUR 2.56)</w:t>
            </w:r>
          </w:p>
          <w:p w14:paraId="32D96585" w14:textId="533DBB44" w:rsidR="00357561" w:rsidRPr="00E96357" w:rsidRDefault="00357561" w:rsidP="00845A52">
            <w:pPr>
              <w:pStyle w:val="BodyText"/>
              <w:kinsoku w:val="0"/>
              <w:overflowPunct w:val="0"/>
              <w:spacing w:before="120" w:after="120" w:line="274" w:lineRule="auto"/>
              <w:ind w:left="0"/>
              <w:rPr>
                <w:rFonts w:ascii="Arial" w:hAnsi="Arial" w:cs="Arial"/>
                <w:iCs/>
                <w:sz w:val="20"/>
                <w:szCs w:val="20"/>
                <w:lang w:val="en-GB"/>
              </w:rPr>
            </w:pPr>
            <w:r w:rsidRPr="00F33CD1">
              <w:rPr>
                <w:rFonts w:ascii="Arial" w:hAnsi="Arial" w:cs="Arial"/>
                <w:iCs/>
                <w:sz w:val="20"/>
                <w:szCs w:val="20"/>
                <w:lang w:val="en-GB"/>
              </w:rPr>
              <w:t>7.</w:t>
            </w:r>
            <w:r w:rsidR="00F33CD1" w:rsidRPr="00F33CD1">
              <w:rPr>
                <w:rFonts w:ascii="Arial" w:hAnsi="Arial" w:cs="Arial"/>
                <w:iCs/>
                <w:sz w:val="20"/>
                <w:szCs w:val="20"/>
                <w:lang w:val="en-GB"/>
              </w:rPr>
              <w:t>93</w:t>
            </w:r>
            <w:r w:rsidRPr="00F33CD1">
              <w:rPr>
                <w:rFonts w:ascii="Arial" w:hAnsi="Arial" w:cs="Arial"/>
                <w:iCs/>
                <w:sz w:val="20"/>
                <w:szCs w:val="20"/>
                <w:lang w:val="en-GB"/>
              </w:rPr>
              <w:t>%</w:t>
            </w:r>
          </w:p>
        </w:tc>
      </w:tr>
      <w:tr w:rsidR="00C875A3" w:rsidRPr="00E96357" w14:paraId="4B0CF18C" w14:textId="77777777" w:rsidTr="00845A52">
        <w:tc>
          <w:tcPr>
            <w:tcW w:w="728" w:type="dxa"/>
          </w:tcPr>
          <w:p w14:paraId="16A2B69C"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6</w:t>
            </w:r>
            <w:r w:rsidRPr="00E96357">
              <w:rPr>
                <w:rFonts w:ascii="Arial" w:hAnsi="Arial" w:cs="Arial"/>
                <w:iCs/>
                <w:sz w:val="20"/>
                <w:szCs w:val="20"/>
                <w:lang w:val="en-GB"/>
              </w:rPr>
              <w:t xml:space="preserve">. </w:t>
            </w:r>
          </w:p>
        </w:tc>
        <w:tc>
          <w:tcPr>
            <w:tcW w:w="3649" w:type="dxa"/>
          </w:tcPr>
          <w:p w14:paraId="7B44330B" w14:textId="77777777" w:rsidR="00C875A3" w:rsidRPr="00C7704A" w:rsidRDefault="00C875A3" w:rsidP="00845A52">
            <w:pPr>
              <w:pStyle w:val="BodyText"/>
              <w:kinsoku w:val="0"/>
              <w:overflowPunct w:val="0"/>
              <w:spacing w:before="120" w:after="120" w:line="274" w:lineRule="auto"/>
              <w:ind w:left="0"/>
              <w:rPr>
                <w:rFonts w:ascii="Arial" w:hAnsi="Arial" w:cs="Arial"/>
                <w:iCs/>
                <w:sz w:val="20"/>
                <w:szCs w:val="20"/>
                <w:lang w:val="en-GB"/>
              </w:rPr>
            </w:pPr>
            <w:r w:rsidRPr="00C7704A">
              <w:rPr>
                <w:rFonts w:ascii="Arial" w:hAnsi="Arial" w:cs="Arial"/>
                <w:iCs/>
                <w:sz w:val="20"/>
                <w:szCs w:val="20"/>
                <w:lang w:val="en-GB"/>
              </w:rPr>
              <w:t xml:space="preserve">Issue Date </w:t>
            </w:r>
          </w:p>
        </w:tc>
        <w:tc>
          <w:tcPr>
            <w:tcW w:w="5663" w:type="dxa"/>
          </w:tcPr>
          <w:p w14:paraId="02672BEE" w14:textId="1D720902" w:rsidR="00C875A3" w:rsidRPr="00C7704A" w:rsidRDefault="00357561" w:rsidP="00845A52">
            <w:pPr>
              <w:pStyle w:val="BodyText"/>
              <w:kinsoku w:val="0"/>
              <w:overflowPunct w:val="0"/>
              <w:spacing w:before="120" w:after="120" w:line="274" w:lineRule="auto"/>
              <w:ind w:left="0"/>
              <w:rPr>
                <w:rFonts w:ascii="Arial" w:hAnsi="Arial" w:cs="Arial"/>
                <w:iCs/>
                <w:sz w:val="20"/>
                <w:szCs w:val="20"/>
                <w:lang w:val="en-GB"/>
              </w:rPr>
            </w:pPr>
            <w:r w:rsidRPr="00F33CD1">
              <w:rPr>
                <w:rFonts w:ascii="Arial" w:hAnsi="Arial" w:cs="Arial"/>
                <w:sz w:val="20"/>
                <w:szCs w:val="20"/>
                <w:lang w:val="en-GB"/>
              </w:rPr>
              <w:t>31</w:t>
            </w:r>
            <w:r w:rsidR="00441EE2" w:rsidRPr="00F33CD1">
              <w:rPr>
                <w:rFonts w:ascii="Arial" w:hAnsi="Arial" w:cs="Arial"/>
                <w:sz w:val="20"/>
                <w:szCs w:val="20"/>
                <w:lang w:val="en-GB"/>
              </w:rPr>
              <w:t>.</w:t>
            </w:r>
            <w:r w:rsidR="00C7704A" w:rsidRPr="00C7704A">
              <w:rPr>
                <w:rFonts w:ascii="Arial" w:hAnsi="Arial" w:cs="Arial"/>
                <w:sz w:val="20"/>
                <w:szCs w:val="20"/>
                <w:lang w:val="en-GB"/>
              </w:rPr>
              <w:t>0</w:t>
            </w:r>
            <w:r>
              <w:rPr>
                <w:rFonts w:ascii="Arial" w:hAnsi="Arial" w:cs="Arial"/>
                <w:sz w:val="20"/>
                <w:szCs w:val="20"/>
                <w:lang w:val="en-GB"/>
              </w:rPr>
              <w:t>5</w:t>
            </w:r>
            <w:r w:rsidR="00441EE2" w:rsidRPr="00C7704A">
              <w:rPr>
                <w:rFonts w:ascii="Arial" w:hAnsi="Arial" w:cs="Arial"/>
                <w:sz w:val="20"/>
                <w:szCs w:val="20"/>
                <w:lang w:val="en-GB"/>
              </w:rPr>
              <w:t>.2021</w:t>
            </w:r>
          </w:p>
        </w:tc>
      </w:tr>
      <w:tr w:rsidR="00C875A3" w:rsidRPr="00E96357" w14:paraId="04A47AFC" w14:textId="77777777" w:rsidTr="00845A52">
        <w:tc>
          <w:tcPr>
            <w:tcW w:w="728" w:type="dxa"/>
          </w:tcPr>
          <w:p w14:paraId="4A9B6885"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7.</w:t>
            </w:r>
          </w:p>
        </w:tc>
        <w:tc>
          <w:tcPr>
            <w:tcW w:w="3649" w:type="dxa"/>
          </w:tcPr>
          <w:p w14:paraId="47058CEF" w14:textId="77777777" w:rsidR="00C875A3" w:rsidRPr="00C7704A" w:rsidRDefault="00C875A3" w:rsidP="00845A52">
            <w:pPr>
              <w:pStyle w:val="BodyText"/>
              <w:kinsoku w:val="0"/>
              <w:overflowPunct w:val="0"/>
              <w:spacing w:before="120" w:after="120" w:line="274" w:lineRule="auto"/>
              <w:ind w:left="0"/>
              <w:rPr>
                <w:rFonts w:ascii="Arial" w:hAnsi="Arial" w:cs="Arial"/>
                <w:iCs/>
                <w:sz w:val="20"/>
                <w:szCs w:val="20"/>
                <w:lang w:val="en-GB"/>
              </w:rPr>
            </w:pPr>
            <w:r w:rsidRPr="00C7704A">
              <w:rPr>
                <w:rFonts w:ascii="Arial" w:hAnsi="Arial" w:cs="Arial"/>
                <w:iCs/>
                <w:sz w:val="20"/>
                <w:szCs w:val="20"/>
                <w:lang w:val="en-GB"/>
              </w:rPr>
              <w:t>Interest Commencement Date</w:t>
            </w:r>
          </w:p>
        </w:tc>
        <w:tc>
          <w:tcPr>
            <w:tcW w:w="5663" w:type="dxa"/>
          </w:tcPr>
          <w:p w14:paraId="3AFC85C4" w14:textId="19193D75" w:rsidR="00C875A3" w:rsidRPr="00C7704A" w:rsidRDefault="00C7704A" w:rsidP="00845A52">
            <w:pPr>
              <w:pStyle w:val="BodyText"/>
              <w:kinsoku w:val="0"/>
              <w:overflowPunct w:val="0"/>
              <w:spacing w:before="120" w:after="120" w:line="274" w:lineRule="auto"/>
              <w:ind w:left="0"/>
              <w:rPr>
                <w:rFonts w:ascii="Arial" w:hAnsi="Arial" w:cs="Arial"/>
                <w:sz w:val="20"/>
                <w:szCs w:val="20"/>
                <w:lang w:val="en-GB"/>
              </w:rPr>
            </w:pPr>
            <w:r w:rsidRPr="00C7704A">
              <w:rPr>
                <w:rFonts w:ascii="Arial" w:hAnsi="Arial" w:cs="Arial"/>
                <w:sz w:val="20"/>
                <w:szCs w:val="20"/>
                <w:lang w:val="en-GB"/>
              </w:rPr>
              <w:t>05</w:t>
            </w:r>
            <w:r w:rsidR="00441EE2" w:rsidRPr="00C7704A">
              <w:rPr>
                <w:rFonts w:ascii="Arial" w:hAnsi="Arial" w:cs="Arial"/>
                <w:sz w:val="20"/>
                <w:szCs w:val="20"/>
                <w:lang w:val="en-GB"/>
              </w:rPr>
              <w:t>.</w:t>
            </w:r>
            <w:r w:rsidRPr="00C7704A">
              <w:rPr>
                <w:rFonts w:ascii="Arial" w:hAnsi="Arial" w:cs="Arial"/>
                <w:sz w:val="20"/>
                <w:szCs w:val="20"/>
                <w:lang w:val="en-GB"/>
              </w:rPr>
              <w:t>02</w:t>
            </w:r>
            <w:r w:rsidR="00441EE2" w:rsidRPr="00C7704A">
              <w:rPr>
                <w:rFonts w:ascii="Arial" w:hAnsi="Arial" w:cs="Arial"/>
                <w:sz w:val="20"/>
                <w:szCs w:val="20"/>
                <w:lang w:val="en-GB"/>
              </w:rPr>
              <w:t>.2021</w:t>
            </w:r>
          </w:p>
        </w:tc>
      </w:tr>
      <w:tr w:rsidR="00C875A3" w:rsidRPr="00E96357" w14:paraId="38CA5583" w14:textId="77777777" w:rsidTr="00845A52">
        <w:tc>
          <w:tcPr>
            <w:tcW w:w="728" w:type="dxa"/>
          </w:tcPr>
          <w:p w14:paraId="350ED3AA"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8</w:t>
            </w:r>
            <w:r w:rsidRPr="00E96357">
              <w:rPr>
                <w:rFonts w:ascii="Arial" w:hAnsi="Arial" w:cs="Arial"/>
                <w:iCs/>
                <w:sz w:val="20"/>
                <w:szCs w:val="20"/>
                <w:lang w:val="en-GB"/>
              </w:rPr>
              <w:t xml:space="preserve">. </w:t>
            </w:r>
          </w:p>
        </w:tc>
        <w:tc>
          <w:tcPr>
            <w:tcW w:w="3649" w:type="dxa"/>
          </w:tcPr>
          <w:p w14:paraId="14DAEA7D" w14:textId="77777777" w:rsidR="00C875A3" w:rsidRPr="00C7704A" w:rsidRDefault="00C875A3" w:rsidP="00845A52">
            <w:pPr>
              <w:pStyle w:val="BodyText"/>
              <w:kinsoku w:val="0"/>
              <w:overflowPunct w:val="0"/>
              <w:spacing w:before="120" w:after="120" w:line="274" w:lineRule="auto"/>
              <w:ind w:left="0"/>
              <w:rPr>
                <w:rFonts w:ascii="Arial" w:hAnsi="Arial" w:cs="Arial"/>
                <w:iCs/>
                <w:sz w:val="20"/>
                <w:szCs w:val="20"/>
                <w:lang w:val="en-GB"/>
              </w:rPr>
            </w:pPr>
            <w:r w:rsidRPr="00C7704A">
              <w:rPr>
                <w:rFonts w:ascii="Arial" w:hAnsi="Arial" w:cs="Arial"/>
                <w:iCs/>
                <w:sz w:val="20"/>
                <w:szCs w:val="20"/>
                <w:lang w:val="en-GB"/>
              </w:rPr>
              <w:t>Maturity Date</w:t>
            </w:r>
          </w:p>
        </w:tc>
        <w:tc>
          <w:tcPr>
            <w:tcW w:w="5663" w:type="dxa"/>
          </w:tcPr>
          <w:p w14:paraId="2D628D0F" w14:textId="7AB247B3" w:rsidR="00C875A3" w:rsidRPr="00C7704A" w:rsidRDefault="00C7704A" w:rsidP="00845A52">
            <w:pPr>
              <w:pStyle w:val="BodyText"/>
              <w:kinsoku w:val="0"/>
              <w:overflowPunct w:val="0"/>
              <w:spacing w:before="120" w:after="120" w:line="274" w:lineRule="auto"/>
              <w:ind w:left="0"/>
              <w:rPr>
                <w:rFonts w:ascii="Arial" w:hAnsi="Arial" w:cs="Arial"/>
                <w:iCs/>
                <w:sz w:val="20"/>
                <w:szCs w:val="20"/>
                <w:lang w:val="en-GB"/>
              </w:rPr>
            </w:pPr>
            <w:r w:rsidRPr="00C7704A">
              <w:rPr>
                <w:rFonts w:ascii="Arial" w:hAnsi="Arial" w:cs="Arial"/>
                <w:sz w:val="20"/>
                <w:szCs w:val="20"/>
                <w:lang w:val="en-GB"/>
              </w:rPr>
              <w:t>05.02</w:t>
            </w:r>
            <w:r w:rsidR="00441EE2" w:rsidRPr="00C7704A">
              <w:rPr>
                <w:rFonts w:ascii="Arial" w:hAnsi="Arial" w:cs="Arial"/>
                <w:sz w:val="20"/>
                <w:szCs w:val="20"/>
                <w:lang w:val="en-GB"/>
              </w:rPr>
              <w:t>.2031</w:t>
            </w:r>
          </w:p>
        </w:tc>
      </w:tr>
      <w:tr w:rsidR="00C875A3" w:rsidRPr="00E96357" w14:paraId="5FE16FFA" w14:textId="77777777" w:rsidTr="00845A52">
        <w:tc>
          <w:tcPr>
            <w:tcW w:w="728" w:type="dxa"/>
          </w:tcPr>
          <w:p w14:paraId="453F4CFE"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9</w:t>
            </w:r>
            <w:r w:rsidRPr="00E96357">
              <w:rPr>
                <w:rFonts w:ascii="Arial" w:hAnsi="Arial" w:cs="Arial"/>
                <w:iCs/>
                <w:sz w:val="20"/>
                <w:szCs w:val="20"/>
                <w:lang w:val="en-GB"/>
              </w:rPr>
              <w:t xml:space="preserve">. </w:t>
            </w:r>
          </w:p>
        </w:tc>
        <w:tc>
          <w:tcPr>
            <w:tcW w:w="3649" w:type="dxa"/>
          </w:tcPr>
          <w:p w14:paraId="28799447"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Interest</w:t>
            </w:r>
          </w:p>
        </w:tc>
        <w:tc>
          <w:tcPr>
            <w:tcW w:w="5663" w:type="dxa"/>
          </w:tcPr>
          <w:p w14:paraId="5B3A1FC3"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p>
        </w:tc>
      </w:tr>
      <w:tr w:rsidR="00C875A3" w:rsidRPr="00E96357" w14:paraId="040B8E59" w14:textId="77777777" w:rsidTr="00845A52">
        <w:tc>
          <w:tcPr>
            <w:tcW w:w="728" w:type="dxa"/>
          </w:tcPr>
          <w:p w14:paraId="6691B87D"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p>
        </w:tc>
        <w:tc>
          <w:tcPr>
            <w:tcW w:w="3649" w:type="dxa"/>
          </w:tcPr>
          <w:p w14:paraId="7F5F781C" w14:textId="77777777" w:rsidR="00C875A3" w:rsidRPr="00C7704A" w:rsidRDefault="00C875A3" w:rsidP="00845A52">
            <w:pPr>
              <w:pStyle w:val="BodyText"/>
              <w:kinsoku w:val="0"/>
              <w:overflowPunct w:val="0"/>
              <w:spacing w:before="120" w:after="120" w:line="274" w:lineRule="auto"/>
              <w:ind w:left="0"/>
              <w:rPr>
                <w:rFonts w:ascii="Arial" w:hAnsi="Arial" w:cs="Arial"/>
                <w:iCs/>
                <w:sz w:val="20"/>
                <w:szCs w:val="20"/>
                <w:lang w:val="en-GB"/>
              </w:rPr>
            </w:pPr>
            <w:proofErr w:type="spellStart"/>
            <w:r w:rsidRPr="00C7704A">
              <w:rPr>
                <w:rFonts w:ascii="Arial" w:hAnsi="Arial" w:cs="Arial"/>
                <w:iCs/>
                <w:sz w:val="20"/>
                <w:szCs w:val="20"/>
                <w:lang w:val="en-GB"/>
              </w:rPr>
              <w:t>i</w:t>
            </w:r>
            <w:proofErr w:type="spellEnd"/>
            <w:r w:rsidRPr="00C7704A">
              <w:rPr>
                <w:rFonts w:ascii="Arial" w:hAnsi="Arial" w:cs="Arial"/>
                <w:iCs/>
                <w:sz w:val="20"/>
                <w:szCs w:val="20"/>
                <w:lang w:val="en-GB"/>
              </w:rPr>
              <w:t>. Interest Payment Dates</w:t>
            </w:r>
          </w:p>
        </w:tc>
        <w:tc>
          <w:tcPr>
            <w:tcW w:w="5663" w:type="dxa"/>
          </w:tcPr>
          <w:p w14:paraId="0C8FCF2C" w14:textId="4987141C" w:rsidR="00C875A3" w:rsidRPr="00C7704A" w:rsidRDefault="00C7704A" w:rsidP="00845A52">
            <w:pPr>
              <w:pStyle w:val="BodyText"/>
              <w:kinsoku w:val="0"/>
              <w:overflowPunct w:val="0"/>
              <w:spacing w:before="120" w:after="120" w:line="274" w:lineRule="auto"/>
              <w:ind w:left="0"/>
              <w:rPr>
                <w:rFonts w:ascii="Arial" w:hAnsi="Arial" w:cs="Arial"/>
                <w:iCs/>
                <w:sz w:val="20"/>
                <w:szCs w:val="20"/>
                <w:lang w:val="en-GB"/>
              </w:rPr>
            </w:pPr>
            <w:r w:rsidRPr="00C7704A">
              <w:rPr>
                <w:rFonts w:ascii="Arial" w:hAnsi="Arial" w:cs="Arial"/>
                <w:sz w:val="20"/>
                <w:szCs w:val="20"/>
                <w:lang w:val="en-GB"/>
              </w:rPr>
              <w:t>05</w:t>
            </w:r>
            <w:r w:rsidR="00441EE2" w:rsidRPr="00C7704A">
              <w:rPr>
                <w:rFonts w:ascii="Arial" w:hAnsi="Arial" w:cs="Arial"/>
                <w:sz w:val="20"/>
                <w:szCs w:val="20"/>
                <w:lang w:val="en-GB"/>
              </w:rPr>
              <w:t>.</w:t>
            </w:r>
            <w:r w:rsidRPr="00C7704A">
              <w:rPr>
                <w:rFonts w:ascii="Arial" w:hAnsi="Arial" w:cs="Arial"/>
                <w:sz w:val="20"/>
                <w:szCs w:val="20"/>
                <w:lang w:val="en-GB"/>
              </w:rPr>
              <w:t>08</w:t>
            </w:r>
            <w:r w:rsidR="00441EE2" w:rsidRPr="00C7704A">
              <w:rPr>
                <w:rFonts w:ascii="Arial" w:hAnsi="Arial" w:cs="Arial"/>
                <w:sz w:val="20"/>
                <w:szCs w:val="20"/>
                <w:lang w:val="en-GB"/>
              </w:rPr>
              <w:t xml:space="preserve"> and </w:t>
            </w:r>
            <w:r w:rsidRPr="00C7704A">
              <w:rPr>
                <w:rFonts w:ascii="Arial" w:hAnsi="Arial" w:cs="Arial"/>
                <w:sz w:val="20"/>
                <w:szCs w:val="20"/>
                <w:lang w:val="en-GB"/>
              </w:rPr>
              <w:t>05.02</w:t>
            </w:r>
            <w:r w:rsidR="00441EE2" w:rsidRPr="00C7704A">
              <w:rPr>
                <w:rFonts w:ascii="Arial" w:hAnsi="Arial" w:cs="Arial"/>
                <w:sz w:val="20"/>
                <w:szCs w:val="20"/>
                <w:lang w:val="en-GB"/>
              </w:rPr>
              <w:t xml:space="preserve"> </w:t>
            </w:r>
            <w:r w:rsidR="00C875A3" w:rsidRPr="00C7704A">
              <w:rPr>
                <w:rFonts w:ascii="Arial" w:hAnsi="Arial" w:cs="Arial"/>
                <w:sz w:val="20"/>
                <w:szCs w:val="20"/>
                <w:lang w:val="en-GB"/>
              </w:rPr>
              <w:t>in</w:t>
            </w:r>
            <w:r w:rsidR="00C875A3" w:rsidRPr="00C7704A">
              <w:rPr>
                <w:rFonts w:ascii="Arial" w:hAnsi="Arial" w:cs="Arial"/>
                <w:spacing w:val="-5"/>
                <w:sz w:val="20"/>
                <w:szCs w:val="20"/>
                <w:lang w:val="en-GB"/>
              </w:rPr>
              <w:t xml:space="preserve"> </w:t>
            </w:r>
            <w:r w:rsidR="00C875A3" w:rsidRPr="00C7704A">
              <w:rPr>
                <w:rFonts w:ascii="Arial" w:hAnsi="Arial" w:cs="Arial"/>
                <w:sz w:val="20"/>
                <w:szCs w:val="20"/>
                <w:lang w:val="en-GB"/>
              </w:rPr>
              <w:t>each</w:t>
            </w:r>
            <w:r w:rsidR="00C875A3" w:rsidRPr="00C7704A">
              <w:rPr>
                <w:rFonts w:ascii="Arial" w:hAnsi="Arial" w:cs="Arial"/>
                <w:spacing w:val="-5"/>
                <w:sz w:val="20"/>
                <w:szCs w:val="20"/>
                <w:lang w:val="en-GB"/>
              </w:rPr>
              <w:t xml:space="preserve"> </w:t>
            </w:r>
            <w:r w:rsidR="00C875A3" w:rsidRPr="00C7704A">
              <w:rPr>
                <w:rFonts w:ascii="Arial" w:hAnsi="Arial" w:cs="Arial"/>
                <w:sz w:val="20"/>
                <w:szCs w:val="20"/>
                <w:lang w:val="en-GB"/>
              </w:rPr>
              <w:t>year</w:t>
            </w:r>
          </w:p>
        </w:tc>
      </w:tr>
      <w:tr w:rsidR="00C875A3" w:rsidRPr="00E96357" w14:paraId="248A6143" w14:textId="77777777" w:rsidTr="00845A52">
        <w:tc>
          <w:tcPr>
            <w:tcW w:w="728" w:type="dxa"/>
          </w:tcPr>
          <w:p w14:paraId="4A60AB1F"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p>
        </w:tc>
        <w:tc>
          <w:tcPr>
            <w:tcW w:w="3649" w:type="dxa"/>
          </w:tcPr>
          <w:p w14:paraId="7991A657"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 xml:space="preserve">ii. </w:t>
            </w:r>
            <w:r>
              <w:rPr>
                <w:rFonts w:ascii="Arial" w:hAnsi="Arial" w:cs="Arial"/>
                <w:iCs/>
                <w:sz w:val="20"/>
                <w:szCs w:val="20"/>
                <w:lang w:val="en-GB"/>
              </w:rPr>
              <w:t>Rate of Interest</w:t>
            </w:r>
          </w:p>
        </w:tc>
        <w:tc>
          <w:tcPr>
            <w:tcW w:w="5663" w:type="dxa"/>
          </w:tcPr>
          <w:p w14:paraId="63A74EE4" w14:textId="137C8959" w:rsidR="00C875A3" w:rsidRPr="00E96357" w:rsidRDefault="00441EE2"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sz w:val="20"/>
                <w:szCs w:val="20"/>
                <w:lang w:val="en-GB"/>
              </w:rPr>
              <w:t>8.00</w:t>
            </w:r>
            <w:r w:rsidR="00C875A3" w:rsidRPr="00E96357">
              <w:rPr>
                <w:rFonts w:ascii="Arial" w:hAnsi="Arial" w:cs="Arial"/>
                <w:sz w:val="20"/>
                <w:szCs w:val="20"/>
                <w:lang w:val="en-GB"/>
              </w:rPr>
              <w:t xml:space="preserve">% </w:t>
            </w:r>
            <w:r w:rsidR="00C875A3" w:rsidRPr="00844D72">
              <w:rPr>
                <w:rFonts w:ascii="Arial" w:hAnsi="Arial" w:cs="Arial"/>
                <w:i/>
                <w:sz w:val="20"/>
                <w:szCs w:val="20"/>
                <w:lang w:val="en-GB"/>
              </w:rPr>
              <w:t>per annum</w:t>
            </w:r>
          </w:p>
        </w:tc>
      </w:tr>
      <w:tr w:rsidR="00C875A3" w:rsidRPr="00E96357" w14:paraId="19F009A6" w14:textId="77777777" w:rsidTr="00845A52">
        <w:tc>
          <w:tcPr>
            <w:tcW w:w="728" w:type="dxa"/>
          </w:tcPr>
          <w:p w14:paraId="6BC21869"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p>
        </w:tc>
        <w:tc>
          <w:tcPr>
            <w:tcW w:w="3649" w:type="dxa"/>
          </w:tcPr>
          <w:p w14:paraId="102F6284"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iii. Day count fraction</w:t>
            </w:r>
          </w:p>
        </w:tc>
        <w:tc>
          <w:tcPr>
            <w:tcW w:w="5663" w:type="dxa"/>
          </w:tcPr>
          <w:p w14:paraId="04E32ADD" w14:textId="5D271686"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t>30/360</w:t>
            </w:r>
          </w:p>
        </w:tc>
      </w:tr>
      <w:tr w:rsidR="00C875A3" w:rsidRPr="00E96357" w14:paraId="08565316" w14:textId="77777777" w:rsidTr="00845A52">
        <w:tc>
          <w:tcPr>
            <w:tcW w:w="728" w:type="dxa"/>
          </w:tcPr>
          <w:p w14:paraId="28AEE2F9"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p>
        </w:tc>
        <w:tc>
          <w:tcPr>
            <w:tcW w:w="3649" w:type="dxa"/>
          </w:tcPr>
          <w:p w14:paraId="584630BD"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iv. Delay interest</w:t>
            </w:r>
          </w:p>
        </w:tc>
        <w:tc>
          <w:tcPr>
            <w:tcW w:w="5663" w:type="dxa"/>
          </w:tcPr>
          <w:p w14:paraId="17C8AB0A" w14:textId="1499139A" w:rsidR="00C875A3" w:rsidRPr="00E96357" w:rsidRDefault="00441EE2" w:rsidP="00845A52">
            <w:pPr>
              <w:tabs>
                <w:tab w:val="left" w:pos="1173"/>
                <w:tab w:val="left" w:pos="3723"/>
                <w:tab w:val="left" w:pos="4301"/>
                <w:tab w:val="left" w:pos="5079"/>
              </w:tabs>
              <w:kinsoku w:val="0"/>
              <w:overflowPunct w:val="0"/>
              <w:spacing w:before="120" w:after="120" w:line="274" w:lineRule="auto"/>
              <w:jc w:val="both"/>
              <w:rPr>
                <w:rFonts w:ascii="Arial" w:hAnsi="Arial" w:cs="Arial"/>
                <w:lang w:val="en-GB"/>
              </w:rPr>
            </w:pPr>
            <w:r>
              <w:rPr>
                <w:rFonts w:ascii="Arial" w:hAnsi="Arial" w:cs="Arial"/>
                <w:lang w:val="en-GB"/>
              </w:rPr>
              <w:t>0.05</w:t>
            </w:r>
            <w:r w:rsidRPr="00E96357">
              <w:rPr>
                <w:rFonts w:ascii="Arial" w:hAnsi="Arial" w:cs="Arial"/>
                <w:lang w:val="en-GB"/>
              </w:rPr>
              <w:t>%</w:t>
            </w:r>
            <w:r>
              <w:rPr>
                <w:rFonts w:ascii="Arial" w:hAnsi="Arial" w:cs="Arial"/>
                <w:lang w:val="en-GB"/>
              </w:rPr>
              <w:t xml:space="preserve"> </w:t>
            </w:r>
            <w:r w:rsidRPr="00B905AF">
              <w:rPr>
                <w:rFonts w:ascii="Arial" w:hAnsi="Arial" w:cs="Arial"/>
                <w:iCs/>
                <w:lang w:val="en-GB"/>
              </w:rPr>
              <w:t>per day</w:t>
            </w:r>
          </w:p>
        </w:tc>
      </w:tr>
      <w:tr w:rsidR="00C875A3" w:rsidRPr="00E96357" w14:paraId="71874B18" w14:textId="77777777" w:rsidTr="00845A52">
        <w:tc>
          <w:tcPr>
            <w:tcW w:w="728" w:type="dxa"/>
          </w:tcPr>
          <w:p w14:paraId="72BE2C29"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10.</w:t>
            </w:r>
          </w:p>
        </w:tc>
        <w:tc>
          <w:tcPr>
            <w:tcW w:w="3649" w:type="dxa"/>
          </w:tcPr>
          <w:p w14:paraId="04B11171" w14:textId="77777777" w:rsidR="00C875A3"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Subscription Period</w:t>
            </w:r>
          </w:p>
        </w:tc>
        <w:tc>
          <w:tcPr>
            <w:tcW w:w="5663" w:type="dxa"/>
          </w:tcPr>
          <w:p w14:paraId="17F6C8F0" w14:textId="7DA8BD84" w:rsidR="00C875A3" w:rsidRDefault="00F33CD1" w:rsidP="00845A52">
            <w:pPr>
              <w:pStyle w:val="BodyText"/>
              <w:keepNext/>
              <w:kinsoku w:val="0"/>
              <w:overflowPunct w:val="0"/>
              <w:spacing w:before="120" w:after="120" w:line="274" w:lineRule="auto"/>
              <w:ind w:left="0"/>
              <w:rPr>
                <w:rFonts w:ascii="Arial" w:hAnsi="Arial" w:cs="Arial"/>
                <w:sz w:val="20"/>
                <w:szCs w:val="20"/>
                <w:lang w:val="en-GB"/>
              </w:rPr>
            </w:pPr>
            <w:r w:rsidRPr="00607212">
              <w:rPr>
                <w:rFonts w:ascii="Arial" w:hAnsi="Arial" w:cs="Arial"/>
                <w:sz w:val="20"/>
                <w:szCs w:val="20"/>
                <w:lang w:val="en-GB"/>
              </w:rPr>
              <w:t>14</w:t>
            </w:r>
            <w:r w:rsidR="00C7704A" w:rsidRPr="00607212">
              <w:rPr>
                <w:rFonts w:ascii="Arial" w:hAnsi="Arial" w:cs="Arial"/>
                <w:sz w:val="20"/>
                <w:szCs w:val="20"/>
                <w:lang w:val="en-GB"/>
              </w:rPr>
              <w:t>-2</w:t>
            </w:r>
            <w:r w:rsidRPr="00607212">
              <w:rPr>
                <w:rFonts w:ascii="Arial" w:hAnsi="Arial" w:cs="Arial"/>
                <w:sz w:val="20"/>
                <w:szCs w:val="20"/>
                <w:lang w:val="en-GB"/>
              </w:rPr>
              <w:t>4</w:t>
            </w:r>
            <w:r w:rsidR="00C7704A" w:rsidRPr="00607212">
              <w:rPr>
                <w:rFonts w:ascii="Arial" w:hAnsi="Arial" w:cs="Arial"/>
                <w:sz w:val="20"/>
                <w:szCs w:val="20"/>
                <w:lang w:val="en-GB"/>
              </w:rPr>
              <w:t>.</w:t>
            </w:r>
            <w:r w:rsidR="00441EE2" w:rsidRPr="00607212">
              <w:rPr>
                <w:rFonts w:ascii="Arial" w:hAnsi="Arial" w:cs="Arial"/>
                <w:sz w:val="20"/>
                <w:szCs w:val="20"/>
                <w:lang w:val="en-GB"/>
              </w:rPr>
              <w:t>0</w:t>
            </w:r>
            <w:r w:rsidR="00364CE9">
              <w:rPr>
                <w:rFonts w:ascii="Arial" w:hAnsi="Arial" w:cs="Arial"/>
                <w:sz w:val="20"/>
                <w:szCs w:val="20"/>
                <w:lang w:val="en-GB"/>
              </w:rPr>
              <w:t>5</w:t>
            </w:r>
            <w:r w:rsidR="00441EE2" w:rsidRPr="00C7704A">
              <w:rPr>
                <w:rFonts w:ascii="Arial" w:hAnsi="Arial" w:cs="Arial"/>
                <w:sz w:val="20"/>
                <w:szCs w:val="20"/>
                <w:lang w:val="en-GB"/>
              </w:rPr>
              <w:t>.2021</w:t>
            </w:r>
            <w:r w:rsidR="00441EE2">
              <w:rPr>
                <w:rFonts w:ascii="Arial" w:hAnsi="Arial" w:cs="Arial"/>
                <w:sz w:val="20"/>
                <w:szCs w:val="20"/>
                <w:lang w:val="en-GB"/>
              </w:rPr>
              <w:t xml:space="preserve"> at </w:t>
            </w:r>
            <w:r>
              <w:rPr>
                <w:rFonts w:ascii="Arial" w:hAnsi="Arial" w:cs="Arial"/>
                <w:sz w:val="20"/>
                <w:szCs w:val="20"/>
                <w:lang w:val="en-GB"/>
              </w:rPr>
              <w:t>12</w:t>
            </w:r>
            <w:r w:rsidR="00441EE2">
              <w:rPr>
                <w:rFonts w:ascii="Arial" w:hAnsi="Arial" w:cs="Arial"/>
                <w:sz w:val="20"/>
                <w:szCs w:val="20"/>
                <w:lang w:val="en-GB"/>
              </w:rPr>
              <w:t>:</w:t>
            </w:r>
            <w:r>
              <w:rPr>
                <w:rFonts w:ascii="Arial" w:hAnsi="Arial" w:cs="Arial"/>
                <w:sz w:val="20"/>
                <w:szCs w:val="20"/>
                <w:lang w:val="en-GB"/>
              </w:rPr>
              <w:t>00</w:t>
            </w:r>
            <w:r w:rsidR="00441EE2">
              <w:rPr>
                <w:rFonts w:ascii="Arial" w:hAnsi="Arial" w:cs="Arial"/>
                <w:sz w:val="20"/>
                <w:szCs w:val="20"/>
                <w:lang w:val="en-GB"/>
              </w:rPr>
              <w:t xml:space="preserve"> EET</w:t>
            </w:r>
          </w:p>
        </w:tc>
      </w:tr>
      <w:tr w:rsidR="00C875A3" w:rsidRPr="00E96357" w14:paraId="492CF120" w14:textId="77777777" w:rsidTr="00845A52">
        <w:tc>
          <w:tcPr>
            <w:tcW w:w="728" w:type="dxa"/>
          </w:tcPr>
          <w:p w14:paraId="6E58C27D"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sidRPr="00E96357">
              <w:rPr>
                <w:rFonts w:ascii="Arial" w:hAnsi="Arial" w:cs="Arial"/>
                <w:iCs/>
                <w:sz w:val="20"/>
                <w:szCs w:val="20"/>
                <w:lang w:val="en-GB"/>
              </w:rPr>
              <w:lastRenderedPageBreak/>
              <w:t>1</w:t>
            </w:r>
            <w:r>
              <w:rPr>
                <w:rFonts w:ascii="Arial" w:hAnsi="Arial" w:cs="Arial"/>
                <w:iCs/>
                <w:sz w:val="20"/>
                <w:szCs w:val="20"/>
                <w:lang w:val="en-GB"/>
              </w:rPr>
              <w:t>1</w:t>
            </w:r>
            <w:r w:rsidRPr="00E96357">
              <w:rPr>
                <w:rFonts w:ascii="Arial" w:hAnsi="Arial" w:cs="Arial"/>
                <w:iCs/>
                <w:sz w:val="20"/>
                <w:szCs w:val="20"/>
                <w:lang w:val="en-GB"/>
              </w:rPr>
              <w:t xml:space="preserve">. </w:t>
            </w:r>
          </w:p>
        </w:tc>
        <w:tc>
          <w:tcPr>
            <w:tcW w:w="3649" w:type="dxa"/>
          </w:tcPr>
          <w:p w14:paraId="5E2A2F78" w14:textId="77777777" w:rsidR="00C875A3" w:rsidRPr="00E96357" w:rsidRDefault="00C875A3" w:rsidP="00845A52">
            <w:pPr>
              <w:pStyle w:val="BodyText"/>
              <w:kinsoku w:val="0"/>
              <w:overflowPunct w:val="0"/>
              <w:spacing w:before="120" w:after="120" w:line="274" w:lineRule="auto"/>
              <w:ind w:left="0"/>
              <w:rPr>
                <w:rFonts w:ascii="Arial" w:hAnsi="Arial" w:cs="Arial"/>
                <w:iCs/>
                <w:sz w:val="20"/>
                <w:szCs w:val="20"/>
                <w:lang w:val="en-GB"/>
              </w:rPr>
            </w:pPr>
            <w:r>
              <w:rPr>
                <w:rFonts w:ascii="Arial" w:hAnsi="Arial" w:cs="Arial"/>
                <w:iCs/>
                <w:sz w:val="20"/>
                <w:szCs w:val="20"/>
                <w:lang w:val="en-GB"/>
              </w:rPr>
              <w:t xml:space="preserve">Bonds subscription, </w:t>
            </w:r>
            <w:proofErr w:type="gramStart"/>
            <w:r>
              <w:rPr>
                <w:rFonts w:ascii="Arial" w:hAnsi="Arial" w:cs="Arial"/>
                <w:iCs/>
                <w:sz w:val="20"/>
                <w:szCs w:val="20"/>
                <w:lang w:val="en-GB"/>
              </w:rPr>
              <w:t>allocation</w:t>
            </w:r>
            <w:proofErr w:type="gramEnd"/>
            <w:r>
              <w:rPr>
                <w:rFonts w:ascii="Arial" w:hAnsi="Arial" w:cs="Arial"/>
                <w:iCs/>
                <w:sz w:val="20"/>
                <w:szCs w:val="20"/>
                <w:lang w:val="en-GB"/>
              </w:rPr>
              <w:t xml:space="preserve"> and issuance terms</w:t>
            </w:r>
          </w:p>
        </w:tc>
        <w:tc>
          <w:tcPr>
            <w:tcW w:w="5663" w:type="dxa"/>
          </w:tcPr>
          <w:p w14:paraId="2D2582FB" w14:textId="77777777" w:rsidR="00C875A3" w:rsidRPr="00507E46"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r w:rsidRPr="00507E46">
              <w:rPr>
                <w:rFonts w:ascii="Arial" w:hAnsi="Arial" w:cs="Arial"/>
                <w:sz w:val="20"/>
                <w:szCs w:val="20"/>
                <w:lang w:val="en-GB"/>
              </w:rPr>
              <w:t xml:space="preserve">The </w:t>
            </w:r>
            <w:r>
              <w:rPr>
                <w:rFonts w:ascii="Arial" w:hAnsi="Arial" w:cs="Arial"/>
                <w:sz w:val="20"/>
                <w:szCs w:val="20"/>
                <w:lang w:val="en-GB"/>
              </w:rPr>
              <w:t>Bonds</w:t>
            </w:r>
            <w:r w:rsidRPr="00507E46">
              <w:rPr>
                <w:rFonts w:ascii="Arial" w:hAnsi="Arial" w:cs="Arial"/>
                <w:sz w:val="20"/>
                <w:szCs w:val="20"/>
                <w:lang w:val="en-GB"/>
              </w:rPr>
              <w:t xml:space="preserve"> may be subscribed for by delivering the Subscription Request to the Issuer</w:t>
            </w:r>
            <w:r>
              <w:rPr>
                <w:rFonts w:ascii="Arial" w:hAnsi="Arial" w:cs="Arial"/>
                <w:sz w:val="20"/>
                <w:szCs w:val="20"/>
                <w:lang w:val="en-GB"/>
              </w:rPr>
              <w:t xml:space="preserve"> (or if </w:t>
            </w:r>
            <w:proofErr w:type="gramStart"/>
            <w:r>
              <w:rPr>
                <w:rFonts w:ascii="Arial" w:hAnsi="Arial" w:cs="Arial"/>
                <w:sz w:val="20"/>
                <w:szCs w:val="20"/>
                <w:lang w:val="en-GB"/>
              </w:rPr>
              <w:t>so</w:t>
            </w:r>
            <w:proofErr w:type="gramEnd"/>
            <w:r>
              <w:rPr>
                <w:rFonts w:ascii="Arial" w:hAnsi="Arial" w:cs="Arial"/>
                <w:sz w:val="20"/>
                <w:szCs w:val="20"/>
                <w:lang w:val="en-GB"/>
              </w:rPr>
              <w:t xml:space="preserve"> instructed by the Issuer, to representative of the Issuer) </w:t>
            </w:r>
            <w:r w:rsidRPr="00507E46">
              <w:rPr>
                <w:rFonts w:ascii="Arial" w:hAnsi="Arial" w:cs="Arial"/>
                <w:sz w:val="20"/>
                <w:szCs w:val="20"/>
                <w:lang w:val="en-GB"/>
              </w:rPr>
              <w:t xml:space="preserve">within the limits of the Subscription Period. The Issuer may (but is not obliged to) accept Subscription Requests made after the end of </w:t>
            </w:r>
            <w:r>
              <w:rPr>
                <w:rFonts w:ascii="Arial" w:hAnsi="Arial" w:cs="Arial"/>
                <w:sz w:val="20"/>
                <w:szCs w:val="20"/>
                <w:lang w:val="en-GB"/>
              </w:rPr>
              <w:t xml:space="preserve">the </w:t>
            </w:r>
            <w:r w:rsidRPr="00507E46">
              <w:rPr>
                <w:rFonts w:ascii="Arial" w:hAnsi="Arial" w:cs="Arial"/>
                <w:sz w:val="20"/>
                <w:szCs w:val="20"/>
                <w:lang w:val="en-GB"/>
              </w:rPr>
              <w:t xml:space="preserve">Subscription Period. The Subscription Request </w:t>
            </w:r>
            <w:r>
              <w:rPr>
                <w:rFonts w:ascii="Arial" w:hAnsi="Arial" w:cs="Arial"/>
                <w:sz w:val="20"/>
                <w:szCs w:val="20"/>
                <w:lang w:val="en-GB"/>
              </w:rPr>
              <w:t>must</w:t>
            </w:r>
            <w:r w:rsidRPr="00507E46">
              <w:rPr>
                <w:rFonts w:ascii="Arial" w:hAnsi="Arial" w:cs="Arial"/>
                <w:sz w:val="20"/>
                <w:szCs w:val="20"/>
                <w:lang w:val="en-GB"/>
              </w:rPr>
              <w:t xml:space="preserve"> be signed by the Subscriber or by its duly authorised representative. The Issuer shall have the right to reject any incomplete or illegible Subscription Request.</w:t>
            </w:r>
          </w:p>
          <w:p w14:paraId="131EA8EF" w14:textId="43558CEA" w:rsidR="00C875A3"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r w:rsidRPr="00507E46">
              <w:rPr>
                <w:rFonts w:ascii="Arial" w:hAnsi="Arial" w:cs="Arial"/>
                <w:sz w:val="20"/>
                <w:szCs w:val="20"/>
                <w:lang w:val="en-GB"/>
              </w:rPr>
              <w:t xml:space="preserve">The Subscription Request is </w:t>
            </w:r>
            <w:r w:rsidR="00C03945" w:rsidRPr="00507E46">
              <w:rPr>
                <w:rFonts w:ascii="Arial" w:hAnsi="Arial" w:cs="Arial"/>
                <w:sz w:val="20"/>
                <w:szCs w:val="20"/>
                <w:lang w:val="en-GB"/>
              </w:rPr>
              <w:t>irrevocable,</w:t>
            </w:r>
            <w:r w:rsidRPr="00507E46">
              <w:rPr>
                <w:rFonts w:ascii="Arial" w:hAnsi="Arial" w:cs="Arial"/>
                <w:sz w:val="20"/>
                <w:szCs w:val="20"/>
                <w:lang w:val="en-GB"/>
              </w:rPr>
              <w:t xml:space="preserve"> and the Subscriber is bound by </w:t>
            </w:r>
            <w:r>
              <w:rPr>
                <w:rFonts w:ascii="Arial" w:hAnsi="Arial" w:cs="Arial"/>
                <w:sz w:val="20"/>
                <w:szCs w:val="20"/>
                <w:lang w:val="en-GB"/>
              </w:rPr>
              <w:t>its</w:t>
            </w:r>
            <w:r w:rsidRPr="00507E46">
              <w:rPr>
                <w:rFonts w:ascii="Arial" w:hAnsi="Arial" w:cs="Arial"/>
                <w:sz w:val="20"/>
                <w:szCs w:val="20"/>
                <w:lang w:val="en-GB"/>
              </w:rPr>
              <w:t xml:space="preserve"> terms from the moment the Issuer has received </w:t>
            </w:r>
            <w:r>
              <w:rPr>
                <w:rFonts w:ascii="Arial" w:hAnsi="Arial" w:cs="Arial"/>
                <w:sz w:val="20"/>
                <w:szCs w:val="20"/>
                <w:lang w:val="en-GB"/>
              </w:rPr>
              <w:t>the relevant Subscription Request.</w:t>
            </w:r>
          </w:p>
          <w:p w14:paraId="1A4392D2" w14:textId="77777777" w:rsidR="00C875A3" w:rsidRPr="00ED0DCD"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r w:rsidRPr="00ED0DCD">
              <w:rPr>
                <w:rFonts w:ascii="Arial" w:hAnsi="Arial" w:cs="Arial"/>
                <w:sz w:val="20"/>
                <w:szCs w:val="20"/>
                <w:lang w:val="en-GB"/>
              </w:rPr>
              <w:t>The Issuer shall have the right to accept or reject, in whole or in part, Subscription Requests at its sole discretion. Upon rejecting a Subscription Request, the Issuer shall not be obliged to provide any explanation or justification for such rejection.</w:t>
            </w:r>
          </w:p>
          <w:p w14:paraId="2D644C65" w14:textId="77777777" w:rsidR="00C875A3" w:rsidRPr="00ED0DCD"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bookmarkStart w:id="0" w:name="_Ref378237649"/>
            <w:r w:rsidRPr="00ED0DCD">
              <w:rPr>
                <w:rFonts w:ascii="Arial" w:hAnsi="Arial" w:cs="Arial"/>
                <w:sz w:val="20"/>
                <w:szCs w:val="20"/>
                <w:lang w:val="en-GB"/>
              </w:rPr>
              <w:t xml:space="preserve">The Issuer shall decide the allocation of the </w:t>
            </w:r>
            <w:r>
              <w:rPr>
                <w:rFonts w:ascii="Arial" w:hAnsi="Arial" w:cs="Arial"/>
                <w:sz w:val="20"/>
                <w:szCs w:val="20"/>
                <w:lang w:val="en-GB"/>
              </w:rPr>
              <w:t>Bond</w:t>
            </w:r>
            <w:r w:rsidRPr="00ED0DCD">
              <w:rPr>
                <w:rFonts w:ascii="Arial" w:hAnsi="Arial" w:cs="Arial"/>
                <w:sz w:val="20"/>
                <w:szCs w:val="20"/>
                <w:lang w:val="en-GB"/>
              </w:rPr>
              <w:t xml:space="preserve">s between the Subscribers at its absolute sole discretion. The amount of </w:t>
            </w:r>
            <w:r>
              <w:rPr>
                <w:rFonts w:ascii="Arial" w:hAnsi="Arial" w:cs="Arial"/>
                <w:sz w:val="20"/>
                <w:szCs w:val="20"/>
                <w:lang w:val="en-GB"/>
              </w:rPr>
              <w:t>Bond</w:t>
            </w:r>
            <w:r w:rsidRPr="00ED0DCD">
              <w:rPr>
                <w:rFonts w:ascii="Arial" w:hAnsi="Arial" w:cs="Arial"/>
                <w:sz w:val="20"/>
                <w:szCs w:val="20"/>
                <w:lang w:val="en-GB"/>
              </w:rPr>
              <w:t xml:space="preserve">s allocated to the Subscriber shall not exceed the amount </w:t>
            </w:r>
            <w:r>
              <w:rPr>
                <w:rFonts w:ascii="Arial" w:hAnsi="Arial" w:cs="Arial"/>
                <w:sz w:val="20"/>
                <w:szCs w:val="20"/>
                <w:lang w:val="en-GB"/>
              </w:rPr>
              <w:t>Bond</w:t>
            </w:r>
            <w:r w:rsidRPr="00ED0DCD">
              <w:rPr>
                <w:rFonts w:ascii="Arial" w:hAnsi="Arial" w:cs="Arial"/>
                <w:sz w:val="20"/>
                <w:szCs w:val="20"/>
                <w:lang w:val="en-GB"/>
              </w:rPr>
              <w:t>s subscribed for by that Subscriber in the Subscription Request.</w:t>
            </w:r>
            <w:bookmarkEnd w:id="0"/>
          </w:p>
          <w:p w14:paraId="7BD38AD1" w14:textId="1210101C" w:rsidR="00C875A3" w:rsidRPr="00B43A8E"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bookmarkStart w:id="1" w:name="_Ref378764298"/>
            <w:r w:rsidRPr="00B43A8E">
              <w:rPr>
                <w:rFonts w:ascii="Arial" w:hAnsi="Arial" w:cs="Arial"/>
                <w:sz w:val="20"/>
                <w:szCs w:val="20"/>
                <w:lang w:val="en-GB"/>
              </w:rPr>
              <w:t xml:space="preserve">The Issuer shall deliver a Confirmation to each Subscriber to whom the </w:t>
            </w:r>
            <w:r>
              <w:rPr>
                <w:rFonts w:ascii="Arial" w:hAnsi="Arial" w:cs="Arial"/>
                <w:sz w:val="20"/>
                <w:szCs w:val="20"/>
                <w:lang w:val="en-GB"/>
              </w:rPr>
              <w:t>Bonds</w:t>
            </w:r>
            <w:r w:rsidRPr="00B43A8E">
              <w:rPr>
                <w:rFonts w:ascii="Arial" w:hAnsi="Arial" w:cs="Arial"/>
                <w:sz w:val="20"/>
                <w:szCs w:val="20"/>
                <w:lang w:val="en-GB"/>
              </w:rPr>
              <w:t xml:space="preserve"> were alloc</w:t>
            </w:r>
            <w:r w:rsidRPr="003A21A9">
              <w:rPr>
                <w:rFonts w:ascii="Arial" w:hAnsi="Arial" w:cs="Arial"/>
                <w:sz w:val="20"/>
                <w:szCs w:val="20"/>
                <w:lang w:val="en-GB"/>
              </w:rPr>
              <w:t>ated by</w:t>
            </w:r>
            <w:r w:rsidR="00441EE2" w:rsidRPr="003A21A9">
              <w:rPr>
                <w:rFonts w:ascii="Arial" w:hAnsi="Arial" w:cs="Arial"/>
                <w:sz w:val="20"/>
                <w:szCs w:val="20"/>
                <w:lang w:val="en-GB"/>
              </w:rPr>
              <w:t xml:space="preserve"> </w:t>
            </w:r>
            <w:r w:rsidR="00364CE9" w:rsidRPr="003A21A9">
              <w:rPr>
                <w:rFonts w:ascii="Arial" w:hAnsi="Arial" w:cs="Arial"/>
                <w:sz w:val="20"/>
                <w:szCs w:val="20"/>
                <w:lang w:val="en-GB"/>
              </w:rPr>
              <w:t>2</w:t>
            </w:r>
            <w:r w:rsidR="00F33CD1" w:rsidRPr="003A21A9">
              <w:rPr>
                <w:rFonts w:ascii="Arial" w:hAnsi="Arial" w:cs="Arial"/>
                <w:sz w:val="20"/>
                <w:szCs w:val="20"/>
                <w:lang w:val="en-GB"/>
              </w:rPr>
              <w:t>5</w:t>
            </w:r>
            <w:r w:rsidR="00441EE2" w:rsidRPr="003A21A9">
              <w:rPr>
                <w:rFonts w:ascii="Arial" w:hAnsi="Arial" w:cs="Arial"/>
                <w:sz w:val="20"/>
                <w:szCs w:val="20"/>
                <w:lang w:val="en-GB"/>
              </w:rPr>
              <w:t>.</w:t>
            </w:r>
            <w:r w:rsidR="00C7704A" w:rsidRPr="00C7704A">
              <w:rPr>
                <w:rFonts w:ascii="Arial" w:hAnsi="Arial" w:cs="Arial"/>
                <w:sz w:val="20"/>
                <w:szCs w:val="20"/>
                <w:lang w:val="en-GB"/>
              </w:rPr>
              <w:t>0</w:t>
            </w:r>
            <w:r w:rsidR="00364CE9">
              <w:rPr>
                <w:rFonts w:ascii="Arial" w:hAnsi="Arial" w:cs="Arial"/>
                <w:sz w:val="20"/>
                <w:szCs w:val="20"/>
                <w:lang w:val="en-GB"/>
              </w:rPr>
              <w:t>5</w:t>
            </w:r>
            <w:r w:rsidR="00441EE2" w:rsidRPr="00C7704A">
              <w:rPr>
                <w:rFonts w:ascii="Arial" w:hAnsi="Arial" w:cs="Arial"/>
                <w:sz w:val="20"/>
                <w:szCs w:val="20"/>
                <w:lang w:val="en-GB"/>
              </w:rPr>
              <w:t>.2021</w:t>
            </w:r>
            <w:r w:rsidRPr="00C7704A">
              <w:rPr>
                <w:rFonts w:ascii="Arial" w:hAnsi="Arial" w:cs="Arial"/>
                <w:sz w:val="20"/>
                <w:szCs w:val="20"/>
                <w:lang w:val="en-GB"/>
              </w:rPr>
              <w:t>. F</w:t>
            </w:r>
            <w:r w:rsidRPr="00B43A8E">
              <w:rPr>
                <w:rFonts w:ascii="Arial" w:hAnsi="Arial" w:cs="Arial"/>
                <w:sz w:val="20"/>
                <w:szCs w:val="20"/>
                <w:lang w:val="en-GB"/>
              </w:rPr>
              <w:t xml:space="preserve">rom the moment the submitted Subscription Request is (partially) confirmed by the Issuer by issuing the Confirmation to the Subscriber, a binding agreement shall become effective between the Subscriber and the Issuer on the terms specified in the Confirmation and the Terms and </w:t>
            </w:r>
            <w:r>
              <w:rPr>
                <w:rFonts w:ascii="Arial" w:hAnsi="Arial" w:cs="Arial"/>
                <w:sz w:val="20"/>
                <w:szCs w:val="20"/>
                <w:lang w:val="en-GB"/>
              </w:rPr>
              <w:t>Final Terms</w:t>
            </w:r>
            <w:r w:rsidRPr="00B43A8E">
              <w:rPr>
                <w:rFonts w:ascii="Arial" w:hAnsi="Arial" w:cs="Arial"/>
                <w:sz w:val="20"/>
                <w:szCs w:val="20"/>
                <w:lang w:val="en-GB"/>
              </w:rPr>
              <w:t>.</w:t>
            </w:r>
            <w:bookmarkEnd w:id="1"/>
          </w:p>
          <w:p w14:paraId="7D8162BE" w14:textId="77777777" w:rsidR="00C875A3"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r w:rsidRPr="00B43A8E">
              <w:rPr>
                <w:rFonts w:ascii="Arial" w:hAnsi="Arial" w:cs="Arial"/>
                <w:sz w:val="20"/>
                <w:szCs w:val="20"/>
                <w:lang w:val="en-GB"/>
              </w:rPr>
              <w:t xml:space="preserve">In case of (partial) rejection of the Subscription Request, the Issuer shall not be responsible for any cost or expense the Subscriber may have incurred in connection with participating in the subscription for the </w:t>
            </w:r>
            <w:r>
              <w:rPr>
                <w:rFonts w:ascii="Arial" w:hAnsi="Arial" w:cs="Arial"/>
                <w:sz w:val="20"/>
                <w:szCs w:val="20"/>
                <w:lang w:val="en-GB"/>
              </w:rPr>
              <w:t>Bonds.</w:t>
            </w:r>
          </w:p>
          <w:p w14:paraId="67B605BD" w14:textId="77777777" w:rsidR="00C875A3" w:rsidRPr="00A425E6"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bookmarkStart w:id="2" w:name="_Ref378143746"/>
            <w:bookmarkStart w:id="3" w:name="_Ref379264040"/>
            <w:r w:rsidRPr="00A425E6">
              <w:rPr>
                <w:rFonts w:ascii="Arial" w:hAnsi="Arial" w:cs="Arial"/>
                <w:sz w:val="20"/>
                <w:szCs w:val="20"/>
                <w:lang w:val="en-GB"/>
              </w:rPr>
              <w:t xml:space="preserve">The Subscriber </w:t>
            </w:r>
            <w:r>
              <w:rPr>
                <w:rFonts w:ascii="Arial" w:hAnsi="Arial" w:cs="Arial"/>
                <w:sz w:val="20"/>
                <w:szCs w:val="20"/>
                <w:lang w:val="en-GB"/>
              </w:rPr>
              <w:t>shall transfer</w:t>
            </w:r>
            <w:r w:rsidRPr="0067260B">
              <w:rPr>
                <w:rFonts w:ascii="Arial" w:hAnsi="Arial" w:cs="Arial"/>
                <w:sz w:val="20"/>
                <w:szCs w:val="20"/>
                <w:lang w:val="en-GB"/>
              </w:rPr>
              <w:t xml:space="preserve"> the Subscription Amount to the Issuer’s bank account specified in the </w:t>
            </w:r>
            <w:r>
              <w:rPr>
                <w:rFonts w:ascii="Arial" w:hAnsi="Arial" w:cs="Arial"/>
                <w:sz w:val="20"/>
                <w:szCs w:val="20"/>
                <w:lang w:val="en-GB"/>
              </w:rPr>
              <w:t>Confirmation by the time specified in the Confirmation</w:t>
            </w:r>
            <w:r w:rsidRPr="00A425E6">
              <w:rPr>
                <w:rFonts w:ascii="Arial" w:hAnsi="Arial" w:cs="Arial"/>
                <w:sz w:val="20"/>
                <w:szCs w:val="20"/>
                <w:lang w:val="en-GB"/>
              </w:rPr>
              <w:t>.</w:t>
            </w:r>
            <w:bookmarkEnd w:id="2"/>
            <w:bookmarkEnd w:id="3"/>
          </w:p>
          <w:p w14:paraId="4D070118" w14:textId="628147B7" w:rsidR="00C875A3" w:rsidRPr="00A425E6"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bookmarkStart w:id="4" w:name="_Ref378764980"/>
            <w:r w:rsidRPr="00A425E6">
              <w:rPr>
                <w:rFonts w:ascii="Arial" w:hAnsi="Arial" w:cs="Arial"/>
                <w:sz w:val="20"/>
                <w:szCs w:val="20"/>
                <w:lang w:val="en-GB"/>
              </w:rPr>
              <w:t xml:space="preserve">Subject to the due payment of the </w:t>
            </w:r>
            <w:r>
              <w:rPr>
                <w:rFonts w:ascii="Arial" w:hAnsi="Arial" w:cs="Arial"/>
                <w:sz w:val="20"/>
                <w:szCs w:val="20"/>
                <w:lang w:val="en-GB"/>
              </w:rPr>
              <w:t>Subscription Amount</w:t>
            </w:r>
            <w:r w:rsidRPr="00A425E6">
              <w:rPr>
                <w:rFonts w:ascii="Arial" w:hAnsi="Arial" w:cs="Arial"/>
                <w:sz w:val="20"/>
                <w:szCs w:val="20"/>
                <w:lang w:val="en-GB"/>
              </w:rPr>
              <w:t xml:space="preserve">, the subscribed </w:t>
            </w:r>
            <w:r>
              <w:rPr>
                <w:rFonts w:ascii="Arial" w:hAnsi="Arial" w:cs="Arial"/>
                <w:sz w:val="20"/>
                <w:szCs w:val="20"/>
                <w:lang w:val="en-GB"/>
              </w:rPr>
              <w:t>Bonds</w:t>
            </w:r>
            <w:r w:rsidRPr="00A425E6">
              <w:rPr>
                <w:rFonts w:ascii="Arial" w:hAnsi="Arial" w:cs="Arial"/>
                <w:sz w:val="20"/>
                <w:szCs w:val="20"/>
                <w:lang w:val="en-GB"/>
              </w:rPr>
              <w:t xml:space="preserve"> </w:t>
            </w:r>
            <w:r>
              <w:rPr>
                <w:rFonts w:ascii="Arial" w:hAnsi="Arial" w:cs="Arial"/>
                <w:sz w:val="20"/>
                <w:szCs w:val="20"/>
                <w:lang w:val="en-GB"/>
              </w:rPr>
              <w:t xml:space="preserve">will </w:t>
            </w:r>
            <w:r w:rsidRPr="00A425E6">
              <w:rPr>
                <w:rFonts w:ascii="Arial" w:hAnsi="Arial" w:cs="Arial"/>
                <w:sz w:val="20"/>
                <w:szCs w:val="20"/>
                <w:lang w:val="en-GB"/>
              </w:rPr>
              <w:t>be registered on and credited to the Investors’ securities account</w:t>
            </w:r>
            <w:r w:rsidRPr="00C7704A">
              <w:rPr>
                <w:rFonts w:ascii="Arial" w:hAnsi="Arial" w:cs="Arial"/>
                <w:sz w:val="20"/>
                <w:szCs w:val="20"/>
                <w:lang w:val="en-GB"/>
              </w:rPr>
              <w:t xml:space="preserve">s within </w:t>
            </w:r>
            <w:r w:rsidR="00441EE2" w:rsidRPr="00C7704A">
              <w:rPr>
                <w:rFonts w:ascii="Arial" w:hAnsi="Arial" w:cs="Arial"/>
                <w:sz w:val="20"/>
                <w:szCs w:val="20"/>
                <w:lang w:val="en-GB"/>
              </w:rPr>
              <w:t>5</w:t>
            </w:r>
            <w:r w:rsidRPr="00C7704A">
              <w:rPr>
                <w:rFonts w:ascii="Arial" w:hAnsi="Arial" w:cs="Arial"/>
                <w:sz w:val="20"/>
                <w:szCs w:val="20"/>
                <w:lang w:val="en-GB"/>
              </w:rPr>
              <w:t xml:space="preserve"> Bus</w:t>
            </w:r>
            <w:r>
              <w:rPr>
                <w:rFonts w:ascii="Arial" w:hAnsi="Arial" w:cs="Arial"/>
                <w:sz w:val="20"/>
                <w:szCs w:val="20"/>
                <w:lang w:val="en-GB"/>
              </w:rPr>
              <w:t>iness Days as from the Issue Date.</w:t>
            </w:r>
            <w:bookmarkEnd w:id="4"/>
          </w:p>
          <w:p w14:paraId="20C1E2F7" w14:textId="77777777" w:rsidR="00C875A3" w:rsidRPr="00E96357" w:rsidRDefault="00C875A3" w:rsidP="00845A52">
            <w:pPr>
              <w:pStyle w:val="BodyText"/>
              <w:keepNext/>
              <w:numPr>
                <w:ilvl w:val="1"/>
                <w:numId w:val="1"/>
              </w:numPr>
              <w:kinsoku w:val="0"/>
              <w:overflowPunct w:val="0"/>
              <w:spacing w:before="120" w:after="120" w:line="274" w:lineRule="auto"/>
              <w:ind w:left="319" w:hanging="319"/>
              <w:rPr>
                <w:rFonts w:ascii="Arial" w:hAnsi="Arial" w:cs="Arial"/>
                <w:sz w:val="20"/>
                <w:szCs w:val="20"/>
                <w:lang w:val="en-GB"/>
              </w:rPr>
            </w:pPr>
            <w:r w:rsidRPr="00A425E6">
              <w:rPr>
                <w:rFonts w:ascii="Arial" w:hAnsi="Arial" w:cs="Arial"/>
                <w:sz w:val="20"/>
                <w:szCs w:val="20"/>
                <w:lang w:val="en-GB"/>
              </w:rPr>
              <w:t xml:space="preserve">In case the Subscriber has not </w:t>
            </w:r>
            <w:r>
              <w:rPr>
                <w:rFonts w:ascii="Arial" w:hAnsi="Arial" w:cs="Arial"/>
                <w:sz w:val="20"/>
                <w:szCs w:val="20"/>
                <w:lang w:val="en-GB"/>
              </w:rPr>
              <w:t>paid the Subscription Amount</w:t>
            </w:r>
            <w:r w:rsidRPr="00A425E6">
              <w:rPr>
                <w:rFonts w:ascii="Arial" w:hAnsi="Arial" w:cs="Arial"/>
                <w:sz w:val="20"/>
                <w:szCs w:val="20"/>
                <w:lang w:val="en-GB"/>
              </w:rPr>
              <w:t xml:space="preserve"> </w:t>
            </w:r>
            <w:r>
              <w:rPr>
                <w:rFonts w:ascii="Arial" w:hAnsi="Arial" w:cs="Arial"/>
                <w:sz w:val="20"/>
                <w:szCs w:val="20"/>
                <w:lang w:val="en-GB"/>
              </w:rPr>
              <w:t xml:space="preserve">in accordance with details </w:t>
            </w:r>
            <w:r w:rsidRPr="00A425E6">
              <w:rPr>
                <w:rFonts w:ascii="Arial" w:hAnsi="Arial" w:cs="Arial"/>
                <w:sz w:val="20"/>
                <w:szCs w:val="20"/>
                <w:lang w:val="en-GB"/>
              </w:rPr>
              <w:t>specified in the Confirmation</w:t>
            </w:r>
            <w:r>
              <w:rPr>
                <w:rFonts w:ascii="Arial" w:hAnsi="Arial" w:cs="Arial"/>
                <w:sz w:val="20"/>
                <w:szCs w:val="20"/>
                <w:lang w:val="en-GB"/>
              </w:rPr>
              <w:t xml:space="preserve">, </w:t>
            </w:r>
            <w:r w:rsidRPr="00A425E6">
              <w:rPr>
                <w:rFonts w:ascii="Arial" w:hAnsi="Arial" w:cs="Arial"/>
                <w:sz w:val="20"/>
                <w:szCs w:val="20"/>
                <w:lang w:val="en-GB"/>
              </w:rPr>
              <w:t xml:space="preserve">the Issuer may choose whether to hold such </w:t>
            </w:r>
            <w:r>
              <w:rPr>
                <w:rFonts w:ascii="Arial" w:hAnsi="Arial" w:cs="Arial"/>
                <w:sz w:val="20"/>
                <w:szCs w:val="20"/>
                <w:lang w:val="en-GB"/>
              </w:rPr>
              <w:t>Bonds</w:t>
            </w:r>
            <w:r w:rsidRPr="00A425E6">
              <w:rPr>
                <w:rFonts w:ascii="Arial" w:hAnsi="Arial" w:cs="Arial"/>
                <w:sz w:val="20"/>
                <w:szCs w:val="20"/>
                <w:lang w:val="en-GB"/>
              </w:rPr>
              <w:t xml:space="preserve"> for that Subscriber until the payment has been duly made (in which case the Issuer may demand default interest on the amount of such delayed payment at the rate </w:t>
            </w:r>
            <w:r>
              <w:rPr>
                <w:rFonts w:ascii="Arial" w:hAnsi="Arial" w:cs="Arial"/>
                <w:sz w:val="20"/>
                <w:szCs w:val="20"/>
                <w:lang w:val="en-GB"/>
              </w:rPr>
              <w:t xml:space="preserve">specified in the relevant Final Terms </w:t>
            </w:r>
            <w:r w:rsidRPr="00A425E6">
              <w:rPr>
                <w:rFonts w:ascii="Arial" w:hAnsi="Arial" w:cs="Arial"/>
                <w:sz w:val="20"/>
                <w:szCs w:val="20"/>
                <w:lang w:val="en-GB"/>
              </w:rPr>
              <w:t xml:space="preserve">for each delayed day, dispose such </w:t>
            </w:r>
            <w:r>
              <w:rPr>
                <w:rFonts w:ascii="Arial" w:hAnsi="Arial" w:cs="Arial"/>
                <w:sz w:val="20"/>
                <w:szCs w:val="20"/>
                <w:lang w:val="en-GB"/>
              </w:rPr>
              <w:t>Bonds</w:t>
            </w:r>
            <w:r w:rsidRPr="00A425E6">
              <w:rPr>
                <w:rFonts w:ascii="Arial" w:hAnsi="Arial" w:cs="Arial"/>
                <w:sz w:val="20"/>
                <w:szCs w:val="20"/>
                <w:lang w:val="en-GB"/>
              </w:rPr>
              <w:t xml:space="preserve"> to other Investors or Subscribers or </w:t>
            </w:r>
            <w:r w:rsidRPr="00A425E6">
              <w:rPr>
                <w:rFonts w:ascii="Arial" w:hAnsi="Arial" w:cs="Arial"/>
                <w:sz w:val="20"/>
                <w:szCs w:val="20"/>
                <w:lang w:val="en-GB"/>
              </w:rPr>
              <w:lastRenderedPageBreak/>
              <w:t>cancel them</w:t>
            </w:r>
            <w:r>
              <w:rPr>
                <w:rFonts w:ascii="Arial" w:hAnsi="Arial" w:cs="Arial"/>
                <w:sz w:val="20"/>
                <w:szCs w:val="20"/>
                <w:lang w:val="en-GB"/>
              </w:rPr>
              <w:t>.</w:t>
            </w:r>
          </w:p>
        </w:tc>
      </w:tr>
    </w:tbl>
    <w:p w14:paraId="5C2B38D5" w14:textId="77777777" w:rsidR="00C875A3" w:rsidRPr="00E96357" w:rsidRDefault="00C875A3" w:rsidP="00C875A3">
      <w:pPr>
        <w:widowControl/>
        <w:autoSpaceDE/>
        <w:autoSpaceDN/>
        <w:adjustRightInd/>
        <w:spacing w:before="120" w:after="120" w:line="274" w:lineRule="auto"/>
        <w:jc w:val="both"/>
        <w:rPr>
          <w:rFonts w:ascii="Arial" w:hAnsi="Arial" w:cs="Arial"/>
          <w:iCs/>
          <w:sz w:val="20"/>
          <w:szCs w:val="20"/>
          <w:lang w:val="en-GB"/>
        </w:rPr>
      </w:pPr>
    </w:p>
    <w:p w14:paraId="013025EA" w14:textId="215041F8" w:rsidR="00C875A3" w:rsidRDefault="00C875A3" w:rsidP="00C875A3">
      <w:pPr>
        <w:widowControl/>
        <w:autoSpaceDE/>
        <w:autoSpaceDN/>
        <w:adjustRightInd/>
        <w:spacing w:before="120" w:after="120" w:line="274" w:lineRule="auto"/>
        <w:ind w:firstLine="155"/>
        <w:jc w:val="both"/>
        <w:rPr>
          <w:rFonts w:ascii="Arial" w:hAnsi="Arial" w:cs="Arial"/>
          <w:iCs/>
          <w:sz w:val="20"/>
          <w:szCs w:val="20"/>
          <w:lang w:val="en-GB"/>
        </w:rPr>
      </w:pPr>
    </w:p>
    <w:p w14:paraId="2F2B3004" w14:textId="123B9E11" w:rsidR="00C875A3" w:rsidRPr="00E96357" w:rsidRDefault="00C875A3" w:rsidP="00C875A3">
      <w:pPr>
        <w:pStyle w:val="BodyText"/>
        <w:kinsoku w:val="0"/>
        <w:overflowPunct w:val="0"/>
        <w:spacing w:before="120" w:after="120" w:line="274" w:lineRule="auto"/>
        <w:rPr>
          <w:rFonts w:ascii="Arial" w:hAnsi="Arial" w:cs="Arial"/>
          <w:sz w:val="20"/>
          <w:szCs w:val="20"/>
          <w:lang w:val="en-GB"/>
        </w:rPr>
      </w:pPr>
      <w:r w:rsidRPr="00E96357">
        <w:rPr>
          <w:rFonts w:ascii="Arial" w:hAnsi="Arial" w:cs="Arial"/>
          <w:sz w:val="20"/>
          <w:szCs w:val="20"/>
          <w:lang w:val="en-GB"/>
        </w:rPr>
        <w:t xml:space="preserve">Signed on behalf </w:t>
      </w:r>
      <w:r>
        <w:rPr>
          <w:rFonts w:ascii="Arial" w:hAnsi="Arial" w:cs="Arial"/>
          <w:sz w:val="20"/>
          <w:szCs w:val="20"/>
          <w:lang w:val="en-GB"/>
        </w:rPr>
        <w:t>of Admiral</w:t>
      </w:r>
      <w:r w:rsidR="003A21A9">
        <w:rPr>
          <w:rFonts w:ascii="Arial" w:hAnsi="Arial" w:cs="Arial"/>
          <w:sz w:val="20"/>
          <w:szCs w:val="20"/>
          <w:lang w:val="en-GB"/>
        </w:rPr>
        <w:t>s</w:t>
      </w:r>
      <w:r>
        <w:rPr>
          <w:rFonts w:ascii="Arial" w:hAnsi="Arial" w:cs="Arial"/>
          <w:sz w:val="20"/>
          <w:szCs w:val="20"/>
          <w:lang w:val="en-GB"/>
        </w:rPr>
        <w:t xml:space="preserve"> Group AS</w:t>
      </w:r>
      <w:r w:rsidRPr="00E96357">
        <w:rPr>
          <w:rFonts w:ascii="Arial" w:hAnsi="Arial" w:cs="Arial"/>
          <w:sz w:val="20"/>
          <w:szCs w:val="20"/>
          <w:lang w:val="en-GB"/>
        </w:rPr>
        <w:t>:</w:t>
      </w:r>
    </w:p>
    <w:p w14:paraId="26DDD12A" w14:textId="77777777" w:rsidR="00C875A3" w:rsidRPr="00E96357" w:rsidRDefault="00C875A3" w:rsidP="00C875A3">
      <w:pPr>
        <w:pStyle w:val="BodyText"/>
        <w:kinsoku w:val="0"/>
        <w:overflowPunct w:val="0"/>
        <w:spacing w:before="120" w:after="120" w:line="274" w:lineRule="auto"/>
        <w:ind w:left="0"/>
        <w:rPr>
          <w:rFonts w:ascii="Arial" w:hAnsi="Arial" w:cs="Arial"/>
          <w:sz w:val="20"/>
          <w:szCs w:val="20"/>
          <w:lang w:val="en-GB"/>
        </w:rPr>
      </w:pPr>
    </w:p>
    <w:p w14:paraId="26ADF0B8" w14:textId="5EC3600C" w:rsidR="00C875A3" w:rsidRPr="00E96357" w:rsidRDefault="00C875A3" w:rsidP="00C875A3">
      <w:pPr>
        <w:pStyle w:val="BodyText"/>
        <w:tabs>
          <w:tab w:val="left" w:pos="831"/>
        </w:tabs>
        <w:kinsoku w:val="0"/>
        <w:overflowPunct w:val="0"/>
        <w:spacing w:before="120" w:after="120" w:line="274" w:lineRule="auto"/>
        <w:rPr>
          <w:rFonts w:ascii="Arial" w:hAnsi="Arial" w:cs="Arial"/>
          <w:w w:val="95"/>
          <w:sz w:val="20"/>
          <w:szCs w:val="20"/>
          <w:lang w:val="en-GB"/>
        </w:rPr>
      </w:pPr>
      <w:r w:rsidRPr="00E96357">
        <w:rPr>
          <w:rFonts w:ascii="Arial" w:hAnsi="Arial" w:cs="Arial"/>
          <w:sz w:val="20"/>
          <w:szCs w:val="20"/>
          <w:lang w:val="en-GB"/>
        </w:rPr>
        <w:t>By:</w:t>
      </w:r>
      <w:r w:rsidRPr="00E96357">
        <w:rPr>
          <w:rFonts w:ascii="Arial" w:hAnsi="Arial" w:cs="Arial"/>
          <w:sz w:val="20"/>
          <w:szCs w:val="20"/>
          <w:lang w:val="en-GB"/>
        </w:rPr>
        <w:tab/>
      </w:r>
      <w:r w:rsidR="00480356" w:rsidRPr="00AF5151">
        <w:rPr>
          <w:rFonts w:ascii="Arial" w:hAnsi="Arial" w:cs="Arial"/>
          <w:sz w:val="20"/>
          <w:szCs w:val="20"/>
          <w:lang w:val="en-GB"/>
        </w:rPr>
        <w:t>S</w:t>
      </w:r>
      <w:r w:rsidR="00AF5151" w:rsidRPr="00AF5151">
        <w:rPr>
          <w:rFonts w:ascii="Arial" w:hAnsi="Arial" w:cs="Arial"/>
          <w:sz w:val="20"/>
          <w:szCs w:val="20"/>
          <w:lang w:val="en-GB"/>
        </w:rPr>
        <w:t xml:space="preserve">ergei </w:t>
      </w:r>
      <w:proofErr w:type="spellStart"/>
      <w:r w:rsidR="00AF5151" w:rsidRPr="00AF5151">
        <w:rPr>
          <w:rFonts w:ascii="Arial" w:hAnsi="Arial" w:cs="Arial"/>
          <w:sz w:val="20"/>
          <w:szCs w:val="20"/>
          <w:lang w:val="en-GB"/>
        </w:rPr>
        <w:t>Bogatenkov</w:t>
      </w:r>
      <w:proofErr w:type="spellEnd"/>
    </w:p>
    <w:p w14:paraId="79F8845E" w14:textId="77777777" w:rsidR="00C875A3" w:rsidRPr="00E96357" w:rsidRDefault="00C875A3" w:rsidP="00C875A3">
      <w:pPr>
        <w:pStyle w:val="BodyText"/>
        <w:kinsoku w:val="0"/>
        <w:overflowPunct w:val="0"/>
        <w:spacing w:before="120" w:after="120" w:line="274" w:lineRule="auto"/>
        <w:ind w:left="832"/>
        <w:rPr>
          <w:rFonts w:ascii="Arial" w:hAnsi="Arial" w:cs="Arial"/>
          <w:sz w:val="20"/>
          <w:szCs w:val="20"/>
          <w:lang w:val="en-GB"/>
        </w:rPr>
      </w:pPr>
      <w:r w:rsidRPr="00E96357">
        <w:rPr>
          <w:rFonts w:ascii="Arial" w:hAnsi="Arial" w:cs="Arial"/>
          <w:sz w:val="20"/>
          <w:szCs w:val="20"/>
          <w:lang w:val="en-GB"/>
        </w:rPr>
        <w:t>Duly authorised</w:t>
      </w:r>
    </w:p>
    <w:p w14:paraId="2E461B01" w14:textId="6C3E2E3F" w:rsidR="00AF5151" w:rsidRPr="00AF5151" w:rsidRDefault="00AF5151" w:rsidP="00C875A3">
      <w:pPr>
        <w:pStyle w:val="BodyText"/>
        <w:tabs>
          <w:tab w:val="left" w:pos="833"/>
        </w:tabs>
        <w:kinsoku w:val="0"/>
        <w:overflowPunct w:val="0"/>
        <w:spacing w:before="120" w:after="120" w:line="274" w:lineRule="auto"/>
        <w:rPr>
          <w:rFonts w:ascii="Arial" w:hAnsi="Arial" w:cs="Arial"/>
          <w:i/>
          <w:iCs/>
          <w:sz w:val="20"/>
          <w:szCs w:val="20"/>
          <w:lang w:val="en-GB"/>
        </w:rPr>
      </w:pPr>
      <w:r w:rsidRPr="00AF5151">
        <w:rPr>
          <w:rFonts w:ascii="Arial" w:hAnsi="Arial" w:cs="Arial"/>
          <w:i/>
          <w:iCs/>
          <w:sz w:val="20"/>
          <w:szCs w:val="20"/>
          <w:lang w:val="en-GB"/>
        </w:rPr>
        <w:tab/>
        <w:t>/</w:t>
      </w:r>
      <w:proofErr w:type="gramStart"/>
      <w:r w:rsidRPr="00AF5151">
        <w:rPr>
          <w:rFonts w:ascii="Arial" w:hAnsi="Arial" w:cs="Arial"/>
          <w:i/>
          <w:iCs/>
          <w:sz w:val="20"/>
          <w:szCs w:val="20"/>
          <w:lang w:val="en-GB"/>
        </w:rPr>
        <w:t>digitally</w:t>
      </w:r>
      <w:proofErr w:type="gramEnd"/>
      <w:r w:rsidRPr="00AF5151">
        <w:rPr>
          <w:rFonts w:ascii="Arial" w:hAnsi="Arial" w:cs="Arial"/>
          <w:i/>
          <w:iCs/>
          <w:sz w:val="20"/>
          <w:szCs w:val="20"/>
          <w:lang w:val="en-GB"/>
        </w:rPr>
        <w:t xml:space="preserve"> signed/</w:t>
      </w:r>
    </w:p>
    <w:p w14:paraId="4DFAF136" w14:textId="438EB059" w:rsidR="00C875A3" w:rsidRPr="00E96357" w:rsidRDefault="00C875A3" w:rsidP="00C875A3">
      <w:pPr>
        <w:pStyle w:val="BodyText"/>
        <w:tabs>
          <w:tab w:val="left" w:pos="833"/>
        </w:tabs>
        <w:kinsoku w:val="0"/>
        <w:overflowPunct w:val="0"/>
        <w:spacing w:before="120" w:after="120" w:line="274" w:lineRule="auto"/>
        <w:rPr>
          <w:rFonts w:ascii="Arial" w:hAnsi="Arial" w:cs="Arial"/>
          <w:w w:val="95"/>
          <w:sz w:val="20"/>
          <w:szCs w:val="20"/>
          <w:lang w:val="en-GB"/>
        </w:rPr>
      </w:pPr>
      <w:r w:rsidRPr="00E96357">
        <w:rPr>
          <w:rFonts w:ascii="Arial" w:hAnsi="Arial" w:cs="Arial"/>
          <w:sz w:val="20"/>
          <w:szCs w:val="20"/>
          <w:lang w:val="en-GB"/>
        </w:rPr>
        <w:t>Date:</w:t>
      </w:r>
      <w:r w:rsidRPr="00E96357">
        <w:rPr>
          <w:rFonts w:ascii="Arial" w:hAnsi="Arial" w:cs="Arial"/>
          <w:sz w:val="20"/>
          <w:szCs w:val="20"/>
          <w:lang w:val="en-GB"/>
        </w:rPr>
        <w:tab/>
      </w:r>
      <w:r w:rsidR="003A21A9" w:rsidRPr="003A21A9">
        <w:rPr>
          <w:rFonts w:ascii="Arial" w:hAnsi="Arial" w:cs="Arial"/>
          <w:w w:val="95"/>
          <w:sz w:val="20"/>
          <w:szCs w:val="20"/>
          <w:lang w:val="en-GB"/>
        </w:rPr>
        <w:t>1</w:t>
      </w:r>
      <w:r w:rsidR="00C00446">
        <w:rPr>
          <w:rFonts w:ascii="Arial" w:hAnsi="Arial" w:cs="Arial"/>
          <w:w w:val="95"/>
          <w:sz w:val="20"/>
          <w:szCs w:val="20"/>
          <w:lang w:val="en-GB"/>
        </w:rPr>
        <w:t>3</w:t>
      </w:r>
      <w:r w:rsidR="00974B0A" w:rsidRPr="003A21A9">
        <w:rPr>
          <w:rFonts w:ascii="Arial" w:hAnsi="Arial" w:cs="Arial"/>
          <w:w w:val="95"/>
          <w:sz w:val="20"/>
          <w:szCs w:val="20"/>
          <w:lang w:val="en-GB"/>
        </w:rPr>
        <w:t>.0</w:t>
      </w:r>
      <w:r w:rsidR="00364CE9" w:rsidRPr="003A21A9">
        <w:rPr>
          <w:rFonts w:ascii="Arial" w:hAnsi="Arial" w:cs="Arial"/>
          <w:w w:val="95"/>
          <w:sz w:val="20"/>
          <w:szCs w:val="20"/>
          <w:lang w:val="en-GB"/>
        </w:rPr>
        <w:t>5</w:t>
      </w:r>
      <w:r w:rsidR="00974B0A">
        <w:rPr>
          <w:rFonts w:ascii="Arial" w:hAnsi="Arial" w:cs="Arial"/>
          <w:w w:val="95"/>
          <w:sz w:val="20"/>
          <w:szCs w:val="20"/>
          <w:lang w:val="en-GB"/>
        </w:rPr>
        <w:t>.2021</w:t>
      </w:r>
    </w:p>
    <w:p w14:paraId="13658FD7" w14:textId="5272C93A" w:rsidR="0077525C" w:rsidRDefault="0077525C" w:rsidP="00C875A3"/>
    <w:sectPr w:rsidR="007752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EA13" w14:textId="77777777" w:rsidR="00FF44E8" w:rsidRDefault="00FF44E8" w:rsidP="00C875A3">
      <w:r>
        <w:separator/>
      </w:r>
    </w:p>
  </w:endnote>
  <w:endnote w:type="continuationSeparator" w:id="0">
    <w:p w14:paraId="592D3DA4" w14:textId="77777777" w:rsidR="00FF44E8" w:rsidRDefault="00FF44E8" w:rsidP="00C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jord">
    <w:altName w:val="Cambria"/>
    <w:charset w:val="BA"/>
    <w:family w:val="roman"/>
    <w:pitch w:val="variable"/>
    <w:sig w:usb0="A00000AF" w:usb1="40000002" w:usb2="00000000" w:usb3="00000000" w:csb0="0000019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F626" w14:textId="77777777" w:rsidR="00FF44E8" w:rsidRDefault="00FF44E8" w:rsidP="00C875A3">
      <w:r>
        <w:separator/>
      </w:r>
    </w:p>
  </w:footnote>
  <w:footnote w:type="continuationSeparator" w:id="0">
    <w:p w14:paraId="5B4C2109" w14:textId="77777777" w:rsidR="00FF44E8" w:rsidRDefault="00FF44E8" w:rsidP="00C875A3">
      <w:r>
        <w:continuationSeparator/>
      </w:r>
    </w:p>
  </w:footnote>
  <w:footnote w:id="1">
    <w:p w14:paraId="5C73C928" w14:textId="085E6AE5" w:rsidR="00C875A3" w:rsidRPr="00974B0A" w:rsidRDefault="00C875A3" w:rsidP="00C875A3">
      <w:pPr>
        <w:pStyle w:val="FootnoteText"/>
        <w:rPr>
          <w:lang w:val="en-US"/>
        </w:rPr>
      </w:pPr>
      <w:r>
        <w:rPr>
          <w:rStyle w:val="FootnoteReference"/>
        </w:rPr>
        <w:footnoteRef/>
      </w:r>
      <w:r>
        <w:t xml:space="preserve"> </w:t>
      </w:r>
      <w:r w:rsidRPr="00A85764">
        <w:rPr>
          <w:sz w:val="16"/>
          <w:szCs w:val="16"/>
        </w:rPr>
        <w:t xml:space="preserve">The Aggregate </w:t>
      </w:r>
      <w:r>
        <w:rPr>
          <w:sz w:val="16"/>
          <w:szCs w:val="16"/>
        </w:rPr>
        <w:t>Nominal Value</w:t>
      </w:r>
      <w:r w:rsidRPr="00A85764">
        <w:rPr>
          <w:sz w:val="16"/>
          <w:szCs w:val="16"/>
        </w:rPr>
        <w:t xml:space="preserve"> of the Series may be increased </w:t>
      </w:r>
      <w:r w:rsidRPr="00B905AF">
        <w:rPr>
          <w:sz w:val="16"/>
          <w:szCs w:val="16"/>
        </w:rPr>
        <w:t>up to EUR 10,000</w:t>
      </w:r>
      <w:r w:rsidRPr="00974B0A">
        <w:rPr>
          <w:sz w:val="16"/>
          <w:szCs w:val="16"/>
        </w:rPr>
        <w:t xml:space="preserve">,000 or decreased </w:t>
      </w:r>
      <w:r w:rsidR="00074612" w:rsidRPr="00974B0A">
        <w:rPr>
          <w:sz w:val="16"/>
          <w:szCs w:val="16"/>
        </w:rPr>
        <w:t xml:space="preserve">or the offering may be cancelled </w:t>
      </w:r>
      <w:r w:rsidRPr="00974B0A">
        <w:rPr>
          <w:sz w:val="16"/>
          <w:szCs w:val="16"/>
        </w:rPr>
        <w:t>by the decision of the Issuer until Issue Date (including).</w:t>
      </w:r>
    </w:p>
  </w:footnote>
  <w:footnote w:id="2">
    <w:p w14:paraId="60F8D846" w14:textId="65B891DA" w:rsidR="00C875A3" w:rsidRPr="00BA6351" w:rsidRDefault="00C875A3" w:rsidP="00C875A3">
      <w:pPr>
        <w:pStyle w:val="FootnoteText"/>
        <w:rPr>
          <w:sz w:val="16"/>
          <w:szCs w:val="16"/>
          <w:lang w:val="en-US"/>
        </w:rPr>
      </w:pPr>
      <w:r w:rsidRPr="00974B0A">
        <w:rPr>
          <w:rStyle w:val="FootnoteReference"/>
          <w:sz w:val="16"/>
          <w:szCs w:val="16"/>
        </w:rPr>
        <w:footnoteRef/>
      </w:r>
      <w:r w:rsidRPr="00974B0A">
        <w:rPr>
          <w:sz w:val="16"/>
          <w:szCs w:val="16"/>
        </w:rPr>
        <w:t xml:space="preserve"> Issue Price may include accrued interest, accrued since Interest Commencement Dat</w:t>
      </w:r>
      <w:r w:rsidR="00364CE9">
        <w:rPr>
          <w:sz w:val="16"/>
          <w:szCs w:val="16"/>
        </w:rPr>
        <w:t>e</w:t>
      </w:r>
      <w:r w:rsidRPr="00BA6351">
        <w:rPr>
          <w:sz w:val="16"/>
          <w:szCs w:val="16"/>
        </w:rPr>
        <w:t xml:space="preserve"> or last Interest Payment Date</w:t>
      </w:r>
      <w:r>
        <w:rPr>
          <w:sz w:val="16"/>
          <w:szCs w:val="16"/>
        </w:rPr>
        <w:t>, as the case may be</w:t>
      </w:r>
      <w:r w:rsidRPr="00BA6351">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A77E2"/>
    <w:multiLevelType w:val="multilevel"/>
    <w:tmpl w:val="05945F56"/>
    <w:lvl w:ilvl="0">
      <w:start w:val="1"/>
      <w:numFmt w:val="decimal"/>
      <w:lvlText w:val="%1."/>
      <w:lvlJc w:val="left"/>
      <w:pPr>
        <w:ind w:left="832" w:hanging="677"/>
      </w:pPr>
      <w:rPr>
        <w:rFonts w:ascii="Arial" w:hAnsi="Arial" w:hint="default"/>
        <w:b/>
        <w:bCs/>
        <w:i w:val="0"/>
        <w:w w:val="99"/>
        <w:sz w:val="20"/>
        <w:szCs w:val="19"/>
      </w:rPr>
    </w:lvl>
    <w:lvl w:ilvl="1">
      <w:start w:val="1"/>
      <w:numFmt w:val="lowerLetter"/>
      <w:lvlText w:val="(%2)"/>
      <w:lvlJc w:val="left"/>
      <w:pPr>
        <w:ind w:left="1512" w:hanging="680"/>
      </w:pPr>
      <w:rPr>
        <w:rFonts w:ascii="Arial" w:hAnsi="Arial" w:cs="Arial" w:hint="default"/>
        <w:b w:val="0"/>
        <w:bCs w:val="0"/>
        <w:i w:val="0"/>
        <w:w w:val="99"/>
        <w:sz w:val="20"/>
        <w:szCs w:val="20"/>
      </w:rPr>
    </w:lvl>
    <w:lvl w:ilvl="2">
      <w:start w:val="1"/>
      <w:numFmt w:val="lowerLetter"/>
      <w:lvlText w:val="(%3)"/>
      <w:lvlJc w:val="left"/>
      <w:pPr>
        <w:ind w:left="2187" w:hanging="677"/>
      </w:pPr>
      <w:rPr>
        <w:rFonts w:ascii="Times New Roman" w:hAnsi="Times New Roman" w:cs="Times New Roman"/>
        <w:b w:val="0"/>
        <w:bCs w:val="0"/>
        <w:spacing w:val="-1"/>
        <w:w w:val="99"/>
        <w:sz w:val="19"/>
        <w:szCs w:val="19"/>
      </w:rPr>
    </w:lvl>
    <w:lvl w:ilvl="3">
      <w:numFmt w:val="bullet"/>
      <w:lvlText w:val="•"/>
      <w:lvlJc w:val="left"/>
      <w:pPr>
        <w:ind w:left="3102" w:hanging="677"/>
      </w:pPr>
    </w:lvl>
    <w:lvl w:ilvl="4">
      <w:numFmt w:val="bullet"/>
      <w:lvlText w:val="•"/>
      <w:lvlJc w:val="left"/>
      <w:pPr>
        <w:ind w:left="4025" w:hanging="677"/>
      </w:pPr>
    </w:lvl>
    <w:lvl w:ilvl="5">
      <w:numFmt w:val="bullet"/>
      <w:lvlText w:val="•"/>
      <w:lvlJc w:val="left"/>
      <w:pPr>
        <w:ind w:left="4947" w:hanging="677"/>
      </w:pPr>
    </w:lvl>
    <w:lvl w:ilvl="6">
      <w:numFmt w:val="bullet"/>
      <w:lvlText w:val="•"/>
      <w:lvlJc w:val="left"/>
      <w:pPr>
        <w:ind w:left="5870" w:hanging="677"/>
      </w:pPr>
    </w:lvl>
    <w:lvl w:ilvl="7">
      <w:numFmt w:val="bullet"/>
      <w:lvlText w:val="•"/>
      <w:lvlJc w:val="left"/>
      <w:pPr>
        <w:ind w:left="6792" w:hanging="677"/>
      </w:pPr>
    </w:lvl>
    <w:lvl w:ilvl="8">
      <w:numFmt w:val="bullet"/>
      <w:lvlText w:val="•"/>
      <w:lvlJc w:val="left"/>
      <w:pPr>
        <w:ind w:left="7715" w:hanging="67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A3"/>
    <w:rsid w:val="00074612"/>
    <w:rsid w:val="000F03AC"/>
    <w:rsid w:val="00260A6B"/>
    <w:rsid w:val="002C3BE7"/>
    <w:rsid w:val="00325BC1"/>
    <w:rsid w:val="00357561"/>
    <w:rsid w:val="00364CE9"/>
    <w:rsid w:val="003A21A9"/>
    <w:rsid w:val="00441EE2"/>
    <w:rsid w:val="00480356"/>
    <w:rsid w:val="00606048"/>
    <w:rsid w:val="00607212"/>
    <w:rsid w:val="0077525C"/>
    <w:rsid w:val="007938B9"/>
    <w:rsid w:val="008F5286"/>
    <w:rsid w:val="00974B0A"/>
    <w:rsid w:val="009C462E"/>
    <w:rsid w:val="00A46C08"/>
    <w:rsid w:val="00AF5151"/>
    <w:rsid w:val="00C00446"/>
    <w:rsid w:val="00C03945"/>
    <w:rsid w:val="00C7704A"/>
    <w:rsid w:val="00C875A3"/>
    <w:rsid w:val="00D6562B"/>
    <w:rsid w:val="00F33CD1"/>
    <w:rsid w:val="00FC3A6F"/>
    <w:rsid w:val="00FF44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1889"/>
  <w15:chartTrackingRefBased/>
  <w15:docId w15:val="{2680C1BE-3F6E-4159-98FF-0F6D0842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75A3"/>
    <w:pPr>
      <w:widowControl w:val="0"/>
      <w:autoSpaceDE w:val="0"/>
      <w:autoSpaceDN w:val="0"/>
      <w:adjustRightInd w:val="0"/>
      <w:spacing w:after="0" w:line="240" w:lineRule="auto"/>
    </w:pPr>
    <w:rPr>
      <w:rFonts w:ascii="Times New Roman" w:eastAsia="Times New Roman" w:hAnsi="Times New Roman" w:cs="Times New Roman"/>
      <w:lang w:eastAsia="et-EE"/>
    </w:rPr>
  </w:style>
  <w:style w:type="paragraph" w:styleId="Heading1">
    <w:name w:val="heading 1"/>
    <w:basedOn w:val="Normal"/>
    <w:next w:val="Normal"/>
    <w:link w:val="Heading1Char"/>
    <w:uiPriority w:val="1"/>
    <w:qFormat/>
    <w:rsid w:val="002C3BE7"/>
    <w:pPr>
      <w:keepNext/>
      <w:keepLines/>
      <w:spacing w:before="240"/>
      <w:outlineLvl w:val="0"/>
    </w:pPr>
    <w:rPr>
      <w:rFonts w:ascii="Fjord" w:eastAsiaTheme="majorEastAsia" w:hAnsi="Fjord"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3BE7"/>
    <w:rPr>
      <w:rFonts w:ascii="Fjord" w:eastAsiaTheme="majorEastAsia" w:hAnsi="Fjord" w:cstheme="majorBidi"/>
      <w:sz w:val="28"/>
      <w:szCs w:val="32"/>
    </w:rPr>
  </w:style>
  <w:style w:type="paragraph" w:styleId="BodyText">
    <w:name w:val="Body Text"/>
    <w:basedOn w:val="Normal"/>
    <w:link w:val="BodyTextChar"/>
    <w:uiPriority w:val="1"/>
    <w:qFormat/>
    <w:rsid w:val="00C875A3"/>
    <w:pPr>
      <w:spacing w:before="170"/>
      <w:ind w:left="155"/>
      <w:jc w:val="both"/>
    </w:pPr>
    <w:rPr>
      <w:sz w:val="19"/>
      <w:szCs w:val="19"/>
    </w:rPr>
  </w:style>
  <w:style w:type="character" w:customStyle="1" w:styleId="BodyTextChar">
    <w:name w:val="Body Text Char"/>
    <w:basedOn w:val="DefaultParagraphFont"/>
    <w:link w:val="BodyText"/>
    <w:uiPriority w:val="1"/>
    <w:rsid w:val="00C875A3"/>
    <w:rPr>
      <w:rFonts w:ascii="Times New Roman" w:eastAsia="Times New Roman" w:hAnsi="Times New Roman" w:cs="Times New Roman"/>
      <w:sz w:val="19"/>
      <w:szCs w:val="19"/>
      <w:lang w:eastAsia="et-EE"/>
    </w:rPr>
  </w:style>
  <w:style w:type="table" w:styleId="TableGrid">
    <w:name w:val="Table Grid"/>
    <w:basedOn w:val="TableNormal"/>
    <w:uiPriority w:val="39"/>
    <w:rsid w:val="00C875A3"/>
    <w:pPr>
      <w:spacing w:after="0" w:line="240" w:lineRule="auto"/>
    </w:pPr>
    <w:rPr>
      <w:rFonts w:ascii="Calibri" w:eastAsia="Times New Roman"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75A3"/>
    <w:pPr>
      <w:widowControl/>
      <w:autoSpaceDE/>
      <w:autoSpaceDN/>
      <w:adjustRightInd/>
      <w:spacing w:before="120"/>
      <w:jc w:val="both"/>
    </w:pPr>
    <w:rPr>
      <w:rFonts w:ascii="Arial" w:eastAsiaTheme="minorHAnsi" w:hAnsi="Arial" w:cs="Helvetica"/>
      <w:sz w:val="20"/>
      <w:szCs w:val="20"/>
      <w:lang w:val="en-GB" w:eastAsia="en-US"/>
    </w:rPr>
  </w:style>
  <w:style w:type="character" w:customStyle="1" w:styleId="FootnoteTextChar">
    <w:name w:val="Footnote Text Char"/>
    <w:basedOn w:val="DefaultParagraphFont"/>
    <w:link w:val="FootnoteText"/>
    <w:uiPriority w:val="99"/>
    <w:semiHidden/>
    <w:rsid w:val="00C875A3"/>
    <w:rPr>
      <w:rFonts w:ascii="Arial" w:hAnsi="Arial" w:cs="Helvetica"/>
      <w:sz w:val="20"/>
      <w:szCs w:val="20"/>
      <w:lang w:val="en-GB"/>
    </w:rPr>
  </w:style>
  <w:style w:type="character" w:styleId="FootnoteReference">
    <w:name w:val="footnote reference"/>
    <w:basedOn w:val="DefaultParagraphFont"/>
    <w:uiPriority w:val="99"/>
    <w:semiHidden/>
    <w:unhideWhenUsed/>
    <w:rsid w:val="00C87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Zaborski</dc:creator>
  <cp:keywords/>
  <dc:description/>
  <cp:lastModifiedBy>Olga Streltsova</cp:lastModifiedBy>
  <cp:revision>2</cp:revision>
  <dcterms:created xsi:type="dcterms:W3CDTF">2021-10-29T09:26:00Z</dcterms:created>
  <dcterms:modified xsi:type="dcterms:W3CDTF">2021-10-29T09:26:00Z</dcterms:modified>
</cp:coreProperties>
</file>