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rPr>
          <w:rFonts w:ascii="Cambria" w:cs="Cambria" w:hAnsi="Cambria" w:eastAsia="Cambria"/>
        </w:rPr>
      </w:pPr>
      <w:r>
        <w:rPr>
          <w:rFonts w:ascii="Cambria" w:hAnsi="Cambria"/>
          <w:outline w:val="0"/>
          <w:color w:val="000000"/>
          <w:u w:color="000000"/>
          <w:rtl w:val="0"/>
          <w:lang w:val="fr-FR"/>
          <w14:textFill>
            <w14:solidFill>
              <w14:srgbClr w14:val="000000"/>
            </w14:solidFill>
          </w14:textFill>
        </w:rPr>
        <w:t xml:space="preserve">Document Title: </w:t>
      </w:r>
      <w:r>
        <w:rPr>
          <w:rFonts w:ascii="Cambria" w:hAnsi="Cambria"/>
          <w:rtl w:val="0"/>
          <w:lang w:val="en-US"/>
        </w:rPr>
        <w:t>SciAps TranslationTable_X-50 for Alloy Specifications</w:t>
      </w:r>
    </w:p>
    <w:p>
      <w:pPr>
        <w:pStyle w:val="Body"/>
        <w:spacing w:after="200"/>
        <w:rPr>
          <w:rFonts w:ascii="Cambria" w:cs="Cambria" w:hAnsi="Cambria" w:eastAsia="Cambria"/>
          <w:outline w:val="0"/>
          <w:color w:val="000000"/>
          <w:u w:color="000000"/>
          <w14:textFill>
            <w14:solidFill>
              <w14:srgbClr w14:val="000000"/>
            </w14:solidFill>
          </w14:textFill>
        </w:rPr>
      </w:pPr>
      <w:r>
        <w:rPr>
          <w:rFonts w:ascii="Cambria" w:hAnsi="Cambria"/>
          <w:outline w:val="0"/>
          <w:color w:val="000000"/>
          <w:u w:color="000000"/>
          <w:rtl w:val="0"/>
          <w:lang w:val="de-DE"/>
          <w14:textFill>
            <w14:solidFill>
              <w14:srgbClr w14:val="000000"/>
            </w14:solidFill>
          </w14:textFill>
        </w:rPr>
        <w:t xml:space="preserve">Rev Date: </w:t>
      </w:r>
      <w:r>
        <w:rPr>
          <w:rFonts w:ascii="Cambria" w:hAnsi="Cambria"/>
          <w:rtl w:val="0"/>
          <w:lang w:val="en-US"/>
        </w:rPr>
        <w:t>OCT</w:t>
      </w:r>
      <w:r>
        <w:rPr>
          <w:rFonts w:ascii="Cambria" w:hAnsi="Cambria"/>
          <w:rtl w:val="0"/>
        </w:rPr>
        <w:t>22</w:t>
      </w:r>
    </w:p>
    <w:p>
      <w:pPr>
        <w:pStyle w:val="Body"/>
        <w:spacing w:after="200"/>
        <w:rPr>
          <w:rFonts w:ascii="Cambria" w:cs="Cambria" w:hAnsi="Cambria" w:eastAsia="Cambria"/>
          <w:outline w:val="0"/>
          <w:color w:val="000000"/>
          <w:u w:color="000000"/>
          <w14:textFill>
            <w14:solidFill>
              <w14:srgbClr w14:val="000000"/>
            </w14:solidFill>
          </w14:textFill>
        </w:rPr>
      </w:pPr>
      <w:r>
        <w:rPr>
          <w:rFonts w:ascii="Cambria" w:cs="Cambria" w:hAnsi="Cambria" w:eastAsia="Cambria"/>
        </w:rPr>
        <w:drawing xmlns:a="http://schemas.openxmlformats.org/drawingml/2006/main">
          <wp:inline distT="0" distB="0" distL="0" distR="0">
            <wp:extent cx="1670299" cy="2165201"/>
            <wp:effectExtent l="0" t="0" r="0" b="0"/>
            <wp:docPr id="1073741825" name="officeArt object" descr="image11.png"/>
            <wp:cNvGraphicFramePr/>
            <a:graphic xmlns:a="http://schemas.openxmlformats.org/drawingml/2006/main">
              <a:graphicData uri="http://schemas.openxmlformats.org/drawingml/2006/picture">
                <pic:pic xmlns:pic="http://schemas.openxmlformats.org/drawingml/2006/picture">
                  <pic:nvPicPr>
                    <pic:cNvPr id="1073741825" name="image11.png" descr="image11.png"/>
                    <pic:cNvPicPr>
                      <a:picLocks noChangeAspect="1"/>
                    </pic:cNvPicPr>
                  </pic:nvPicPr>
                  <pic:blipFill>
                    <a:blip r:embed="rId4">
                      <a:extLst/>
                    </a:blip>
                    <a:stretch>
                      <a:fillRect/>
                    </a:stretch>
                  </pic:blipFill>
                  <pic:spPr>
                    <a:xfrm>
                      <a:off x="0" y="0"/>
                      <a:ext cx="1670299" cy="2165201"/>
                    </a:xfrm>
                    <a:prstGeom prst="rect">
                      <a:avLst/>
                    </a:prstGeom>
                    <a:ln w="12700" cap="flat">
                      <a:noFill/>
                      <a:miter lim="400000"/>
                    </a:ln>
                    <a:effectLst/>
                  </pic:spPr>
                </pic:pic>
              </a:graphicData>
            </a:graphic>
          </wp:inline>
        </w:drawing>
      </w:r>
    </w:p>
    <w:tbl>
      <w:tblPr>
        <w:tblW w:w="129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19"/>
        <w:gridCol w:w="4320"/>
        <w:gridCol w:w="4321"/>
      </w:tblGrid>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dfec"/>
            <w:tcMar>
              <w:top w:type="dxa" w:w="80"/>
              <w:left w:type="dxa" w:w="80"/>
              <w:bottom w:type="dxa" w:w="80"/>
              <w:right w:type="dxa" w:w="80"/>
            </w:tcMar>
            <w:vAlign w:val="top"/>
          </w:tcPr>
          <w:p>
            <w:pPr>
              <w:pStyle w:val="Body"/>
              <w:spacing w:after="200"/>
            </w:pPr>
            <w:r>
              <w:rPr>
                <w:rFonts w:ascii="Roboto Medium" w:hAnsi="Roboto Medium"/>
                <w:shd w:val="nil" w:color="auto" w:fill="auto"/>
                <w:rtl w:val="0"/>
                <w:lang w:val="en-US"/>
              </w:rPr>
              <w:t>Layout Preview</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dfec"/>
            <w:tcMar>
              <w:top w:type="dxa" w:w="80"/>
              <w:left w:type="dxa" w:w="80"/>
              <w:bottom w:type="dxa" w:w="80"/>
              <w:right w:type="dxa" w:w="80"/>
            </w:tcMar>
            <w:vAlign w:val="top"/>
          </w:tcPr>
          <w:p>
            <w:pPr>
              <w:pStyle w:val="Body"/>
            </w:pPr>
            <w:r>
              <w:rPr>
                <w:rFonts w:ascii="Roboto Bold" w:hAnsi="Roboto Bold"/>
                <w:shd w:val="nil" w:color="auto" w:fill="auto"/>
                <w:rtl w:val="0"/>
                <w:lang w:val="en-US"/>
              </w:rPr>
              <w:t>English Text</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dfec"/>
            <w:tcMar>
              <w:top w:type="dxa" w:w="80"/>
              <w:left w:type="dxa" w:w="80"/>
              <w:bottom w:type="dxa" w:w="80"/>
              <w:right w:type="dxa" w:w="80"/>
            </w:tcMar>
            <w:vAlign w:val="top"/>
          </w:tcPr>
          <w:p>
            <w:pPr>
              <w:pStyle w:val="Body"/>
            </w:pPr>
            <w:r>
              <w:rPr>
                <w:rFonts w:ascii="Roboto Medium" w:hAnsi="Roboto Medium"/>
                <w:shd w:val="nil" w:color="auto" w:fill="auto"/>
                <w:rtl w:val="0"/>
                <w:lang w:val="en-US"/>
              </w:rPr>
              <w:t>Translated Text</w:t>
            </w:r>
          </w:p>
        </w:tc>
      </w:tr>
      <w:tr>
        <w:tblPrEx>
          <w:shd w:val="clear" w:color="auto" w:fill="ced7e7"/>
        </w:tblPrEx>
        <w:trPr>
          <w:trHeight w:val="140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851066"/>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5">
                            <a:extLst/>
                          </a:blip>
                          <a:stretch>
                            <a:fillRect/>
                          </a:stretch>
                        </pic:blipFill>
                        <pic:spPr>
                          <a:xfrm>
                            <a:off x="0" y="0"/>
                            <a:ext cx="2609518" cy="851066"/>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hAnsi="Cambria"/>
                <w:shd w:val="nil" w:color="auto" w:fill="auto"/>
                <w:rtl w:val="0"/>
                <w:lang w:val="en-US"/>
              </w:rPr>
              <w:t>SciAps X-50</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hAnsi="Cambria"/>
                <w:shd w:val="nil" w:color="auto" w:fill="auto"/>
                <w:rtl w:val="0"/>
                <w:lang w:val="en-US"/>
              </w:rPr>
              <w:t xml:space="preserve"> for Alloy Analysis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Specifications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6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3366716"/>
                  <wp:effectExtent l="0" t="0" r="0" b="0"/>
                  <wp:docPr id="1073741827" name="officeArt object" descr="image9.png"/>
                  <wp:cNvGraphicFramePr/>
                  <a:graphic xmlns:a="http://schemas.openxmlformats.org/drawingml/2006/main">
                    <a:graphicData uri="http://schemas.openxmlformats.org/drawingml/2006/picture">
                      <pic:pic xmlns:pic="http://schemas.openxmlformats.org/drawingml/2006/picture">
                        <pic:nvPicPr>
                          <pic:cNvPr id="1073741827" name="image9.png" descr="image9.png"/>
                          <pic:cNvPicPr>
                            <a:picLocks noChangeAspect="1"/>
                          </pic:cNvPicPr>
                        </pic:nvPicPr>
                        <pic:blipFill>
                          <a:blip r:embed="rId6">
                            <a:extLst/>
                          </a:blip>
                          <a:stretch>
                            <a:fillRect/>
                          </a:stretch>
                        </pic:blipFill>
                        <pic:spPr>
                          <a:xfrm>
                            <a:off x="0" y="0"/>
                            <a:ext cx="2609518" cy="3366716"/>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The classic model for many applications at a great value.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Premium X-ray hardware for reliable handling</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3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Optimal performance on high-value metals Ni, Co, Cu, Ta, W, Mo, and many more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Fast, precise results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5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550690"/>
                  <wp:effectExtent l="0" t="0" r="0" b="0"/>
                  <wp:docPr id="1073741828" name="officeArt object" descr="image8.png"/>
                  <wp:cNvGraphicFramePr/>
                  <a:graphic xmlns:a="http://schemas.openxmlformats.org/drawingml/2006/main">
                    <a:graphicData uri="http://schemas.openxmlformats.org/drawingml/2006/picture">
                      <pic:pic xmlns:pic="http://schemas.openxmlformats.org/drawingml/2006/picture">
                        <pic:nvPicPr>
                          <pic:cNvPr id="1073741828" name="image8.png" descr="image8.png"/>
                          <pic:cNvPicPr>
                            <a:picLocks noChangeAspect="1"/>
                          </pic:cNvPicPr>
                        </pic:nvPicPr>
                        <pic:blipFill>
                          <a:blip r:embed="rId7">
                            <a:extLst/>
                          </a:blip>
                          <a:stretch>
                            <a:fillRect/>
                          </a:stretch>
                        </pic:blipFill>
                        <pic:spPr>
                          <a:xfrm>
                            <a:off x="0" y="0"/>
                            <a:ext cx="2609518" cy="550690"/>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hAnsi="Cambria"/>
                <w:shd w:val="nil" w:color="auto" w:fill="auto"/>
                <w:rtl w:val="0"/>
                <w:lang w:val="en-US"/>
              </w:rPr>
              <w:t>Get exactly what you need with the totally reengineered X-50. It</w:t>
            </w:r>
            <w:r>
              <w:rPr>
                <w:rFonts w:ascii="Cambria" w:hAnsi="Cambria" w:hint="default"/>
                <w:shd w:val="nil" w:color="auto" w:fill="auto"/>
                <w:rtl w:val="0"/>
                <w:lang w:val="en-US"/>
              </w:rPr>
              <w:t>’</w:t>
            </w:r>
            <w:r>
              <w:rPr>
                <w:rFonts w:ascii="Cambria" w:hAnsi="Cambria"/>
                <w:shd w:val="nil" w:color="auto" w:fill="auto"/>
                <w:rtl w:val="0"/>
                <w:lang w:val="en-US"/>
              </w:rPr>
              <w:t xml:space="preserve">s the highest performing XRF on the market that features classic PiN diode detector technology. A little beefier than SciAps sleeker models, this cost-effective XRF still offers best-in-class analytical performance and speed for its detector platform, operating at rates 2X or higher than other brands. SciAps powerful, miniaturized X-ray tube combined with highly advanced internal geometry yields fast, precise results.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925"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2453072"/>
                  <wp:effectExtent l="0" t="0" r="0" b="0"/>
                  <wp:docPr id="1073741829" name="officeArt object" descr="image10.png"/>
                  <wp:cNvGraphicFramePr/>
                  <a:graphic xmlns:a="http://schemas.openxmlformats.org/drawingml/2006/main">
                    <a:graphicData uri="http://schemas.openxmlformats.org/drawingml/2006/picture">
                      <pic:pic xmlns:pic="http://schemas.openxmlformats.org/drawingml/2006/picture">
                        <pic:nvPicPr>
                          <pic:cNvPr id="1073741829" name="image10.png" descr="image10.png"/>
                          <pic:cNvPicPr>
                            <a:picLocks noChangeAspect="1"/>
                          </pic:cNvPicPr>
                        </pic:nvPicPr>
                        <pic:blipFill>
                          <a:blip r:embed="rId8">
                            <a:extLst/>
                          </a:blip>
                          <a:stretch>
                            <a:fillRect/>
                          </a:stretch>
                        </pic:blipFill>
                        <pic:spPr>
                          <a:xfrm>
                            <a:off x="0" y="0"/>
                            <a:ext cx="2609518" cy="2453072"/>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X-50</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XRF</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 xml:space="preserve">Reinventing a classic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2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X-50 utilizes the original "old school" PiN diode X-ray for great basic analysis of transition and heavy metals. For those who don</w:t>
            </w:r>
            <w:r>
              <w:rPr>
                <w:rFonts w:ascii="Cambria" w:hAnsi="Cambria" w:hint="default"/>
                <w:shd w:val="nil" w:color="auto" w:fill="auto"/>
                <w:rtl w:val="0"/>
                <w:lang w:val="en-US"/>
              </w:rPr>
              <w:t>’</w:t>
            </w:r>
            <w:r>
              <w:rPr>
                <w:rFonts w:ascii="Cambria" w:hAnsi="Cambria"/>
                <w:shd w:val="nil" w:color="auto" w:fill="auto"/>
                <w:rtl w:val="0"/>
                <w:lang w:val="en-US"/>
              </w:rPr>
              <w:t>t need to measure Mg, Al, Si, S, or P, it</w:t>
            </w:r>
            <w:r>
              <w:rPr>
                <w:rFonts w:ascii="Cambria" w:hAnsi="Cambria" w:hint="default"/>
                <w:shd w:val="nil" w:color="auto" w:fill="auto"/>
                <w:rtl w:val="0"/>
                <w:lang w:val="en-US"/>
              </w:rPr>
              <w:t>’</w:t>
            </w:r>
            <w:r>
              <w:rPr>
                <w:rFonts w:ascii="Cambria" w:hAnsi="Cambria"/>
                <w:shd w:val="nil" w:color="auto" w:fill="auto"/>
                <w:rtl w:val="0"/>
                <w:lang w:val="en-US"/>
              </w:rPr>
              <w:t>s the perfect choice. We</w:t>
            </w:r>
            <w:r>
              <w:rPr>
                <w:rFonts w:ascii="Cambria" w:hAnsi="Cambria" w:hint="default"/>
                <w:shd w:val="nil" w:color="auto" w:fill="auto"/>
                <w:rtl w:val="0"/>
                <w:lang w:val="en-US"/>
              </w:rPr>
              <w:t>’</w:t>
            </w:r>
            <w:r>
              <w:rPr>
                <w:rFonts w:ascii="Cambria" w:hAnsi="Cambria"/>
                <w:shd w:val="nil" w:color="auto" w:fill="auto"/>
                <w:rtl w:val="0"/>
                <w:lang w:val="en-US"/>
              </w:rPr>
              <w:t>ve reengineered the classic detector technology with a new internal circuit board, new housing and metal components, up-to-date software and user interface, and full recalibration. And we</w:t>
            </w:r>
            <w:r>
              <w:rPr>
                <w:rFonts w:ascii="Cambria" w:hAnsi="Cambria" w:hint="default"/>
                <w:shd w:val="nil" w:color="auto" w:fill="auto"/>
                <w:rtl w:val="0"/>
                <w:lang w:val="en-US"/>
              </w:rPr>
              <w:t>’</w:t>
            </w:r>
            <w:r>
              <w:rPr>
                <w:rFonts w:ascii="Cambria" w:hAnsi="Cambria"/>
                <w:shd w:val="nil" w:color="auto" w:fill="auto"/>
                <w:rtl w:val="0"/>
                <w:lang w:val="en-US"/>
              </w:rPr>
              <w:t>ve equipped it with more features, such as a built-in, high-resolution camera for sample viewing and a macro-camera for photo-documentation or 2D/3D bar code reading and storage.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619"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988738"/>
                  <wp:effectExtent l="0" t="0" r="0" b="0"/>
                  <wp:docPr id="1073741830" name="officeArt object" descr="image3.png"/>
                  <wp:cNvGraphicFramePr/>
                  <a:graphic xmlns:a="http://schemas.openxmlformats.org/drawingml/2006/main">
                    <a:graphicData uri="http://schemas.openxmlformats.org/drawingml/2006/picture">
                      <pic:pic xmlns:pic="http://schemas.openxmlformats.org/drawingml/2006/picture">
                        <pic:nvPicPr>
                          <pic:cNvPr id="1073741830" name="image3.png" descr="image3.png"/>
                          <pic:cNvPicPr>
                            <a:picLocks noChangeAspect="1"/>
                          </pic:cNvPicPr>
                        </pic:nvPicPr>
                        <pic:blipFill>
                          <a:blip r:embed="rId9">
                            <a:extLst/>
                          </a:blip>
                          <a:stretch>
                            <a:fillRect/>
                          </a:stretch>
                        </pic:blipFill>
                        <pic:spPr>
                          <a:xfrm>
                            <a:off x="0" y="0"/>
                            <a:ext cx="2609518" cy="988738"/>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 xml:space="preserve">Standard element package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The X-50 operates using the same advanced X-ray tube technology as other SciAps X Series models (operating at 40 kV max) for testing, that includes Ti, V, Cr, Mn, Fe, Co, Ni, Cu, Zn, W, Ta, Hf, Re, Se, Au, Pb, Bi, Zr, Mo, Pd, Ag, Cd, Sn, and Sb. More elements can be added upon request.</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 xml:space="preserve">Full sample chemistry displayed.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40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851066"/>
                  <wp:effectExtent l="0" t="0" r="0" b="0"/>
                  <wp:docPr id="1073741831" name="officeArt object" descr="image6.png"/>
                  <wp:cNvGraphicFramePr/>
                  <a:graphic xmlns:a="http://schemas.openxmlformats.org/drawingml/2006/main">
                    <a:graphicData uri="http://schemas.openxmlformats.org/drawingml/2006/picture">
                      <pic:pic xmlns:pic="http://schemas.openxmlformats.org/drawingml/2006/picture">
                        <pic:nvPicPr>
                          <pic:cNvPr id="1073741831" name="image6.png" descr="image6.png"/>
                          <pic:cNvPicPr>
                            <a:picLocks noChangeAspect="1"/>
                          </pic:cNvPicPr>
                        </pic:nvPicPr>
                        <pic:blipFill>
                          <a:blip r:embed="rId10">
                            <a:extLst/>
                          </a:blip>
                          <a:stretch>
                            <a:fillRect/>
                          </a:stretch>
                        </pic:blipFill>
                        <pic:spPr>
                          <a:xfrm>
                            <a:off x="0" y="0"/>
                            <a:ext cx="2609518" cy="851066"/>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Android and data management</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66"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Operates on Android OS with the feel of a smartphone. Using Bluetooth, Wi-Fi and USB, users can print, email, and connect to virtually any information system for real-time data. On-board macro camera allows for photo-documentation, and Bluetooth label printer provides instant hard copy labels.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 xml:space="preserve">Use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SciAps Test Station</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6"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to analyze small pieces in benchtop mode. Features an interlocking lid for your pro</w:t>
            </w:r>
            <w:r>
              <w:rPr>
                <w:rFonts w:ascii="Cambria" w:hAnsi="Cambria"/>
                <w:shd w:val="nil" w:color="auto" w:fill="auto"/>
                <w:rtl w:val="0"/>
                <w:lang w:val="en-US"/>
              </w:rPr>
              <w:softHyphen/>
              <w:t>tection and super stable base to keep samples po</w:t>
            </w:r>
            <w:r>
              <w:rPr>
                <w:rFonts w:ascii="Cambria" w:hAnsi="Cambria"/>
                <w:shd w:val="nil" w:color="auto" w:fill="auto"/>
                <w:rtl w:val="0"/>
                <w:lang w:val="en-US"/>
              </w:rPr>
              <w:softHyphen/>
              <w:t>sitioned correctly.</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7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438400" cy="2038350"/>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11">
                            <a:extLst/>
                          </a:blip>
                          <a:stretch>
                            <a:fillRect/>
                          </a:stretch>
                        </pic:blipFill>
                        <pic:spPr>
                          <a:xfrm>
                            <a:off x="0" y="0"/>
                            <a:ext cx="2438400" cy="2038350"/>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Cambria" w:cs="Cambria" w:hAnsi="Cambria" w:eastAsia="Cambria"/>
                <w:shd w:val="nil" w:color="auto" w:fill="auto"/>
              </w:rPr>
            </w:pPr>
            <w:r>
              <w:rPr>
                <w:rFonts w:ascii="Cambria" w:hAnsi="Cambria"/>
                <w:shd w:val="nil" w:color="auto" w:fill="auto"/>
                <w:rtl w:val="0"/>
                <w:lang w:val="en-US"/>
              </w:rPr>
              <w:t xml:space="preserve">For more information, or to schedule a demonstration: </w:t>
            </w:r>
          </w:p>
          <w:p>
            <w:pPr>
              <w:pStyle w:val="Body"/>
              <w:spacing w:line="276" w:lineRule="auto"/>
              <w:rPr>
                <w:rFonts w:ascii="Cambria" w:cs="Cambria" w:hAnsi="Cambria" w:eastAsia="Cambria"/>
                <w:shd w:val="nil" w:color="auto" w:fill="auto"/>
                <w:lang w:val="en-US"/>
              </w:rPr>
            </w:pPr>
          </w:p>
          <w:p>
            <w:pPr>
              <w:pStyle w:val="Body"/>
              <w:bidi w:val="0"/>
              <w:spacing w:line="276" w:lineRule="auto"/>
              <w:ind w:left="0" w:right="0" w:firstLine="0"/>
              <w:jc w:val="left"/>
              <w:rPr>
                <w:rFonts w:ascii="Cambria" w:cs="Cambria" w:hAnsi="Cambria" w:eastAsia="Cambria"/>
                <w:shd w:val="nil" w:color="auto" w:fill="auto"/>
                <w:rtl w:val="0"/>
              </w:rPr>
            </w:pPr>
            <w:r>
              <w:rPr>
                <w:rFonts w:ascii="Cambria" w:hAnsi="Cambria"/>
                <w:shd w:val="nil" w:color="auto" w:fill="auto"/>
                <w:rtl w:val="0"/>
                <w:lang w:val="en-US"/>
              </w:rPr>
              <w:t>Website</w:t>
            </w:r>
          </w:p>
          <w:p>
            <w:pPr>
              <w:pStyle w:val="Body"/>
              <w:bidi w:val="0"/>
              <w:spacing w:line="276" w:lineRule="auto"/>
              <w:ind w:left="0" w:right="0" w:firstLine="0"/>
              <w:jc w:val="left"/>
              <w:rPr>
                <w:rtl w:val="0"/>
              </w:rPr>
            </w:pPr>
            <w:r>
              <w:rPr>
                <w:rFonts w:ascii="Cambria" w:hAnsi="Cambria"/>
                <w:shd w:val="nil" w:color="auto" w:fill="auto"/>
                <w:rtl w:val="0"/>
                <w:lang w:val="en-US"/>
              </w:rPr>
              <w:t>Phone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(Back)</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5"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725909"/>
                  <wp:effectExtent l="0" t="0" r="0" b="0"/>
                  <wp:docPr id="1073741833" name="officeArt object" descr="image7.png"/>
                  <wp:cNvGraphicFramePr/>
                  <a:graphic xmlns:a="http://schemas.openxmlformats.org/drawingml/2006/main">
                    <a:graphicData uri="http://schemas.openxmlformats.org/drawingml/2006/picture">
                      <pic:pic xmlns:pic="http://schemas.openxmlformats.org/drawingml/2006/picture">
                        <pic:nvPicPr>
                          <pic:cNvPr id="1073741833" name="image7.png" descr="image7.png"/>
                          <pic:cNvPicPr>
                            <a:picLocks noChangeAspect="1"/>
                          </pic:cNvPicPr>
                        </pic:nvPicPr>
                        <pic:blipFill>
                          <a:blip r:embed="rId12">
                            <a:extLst/>
                          </a:blip>
                          <a:stretch>
                            <a:fillRect/>
                          </a:stretch>
                        </pic:blipFill>
                        <pic:spPr>
                          <a:xfrm>
                            <a:off x="0" y="0"/>
                            <a:ext cx="2609518" cy="725909"/>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SciAps X-50</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hAnsi="Cambria"/>
                <w:shd w:val="nil" w:color="auto" w:fill="auto"/>
                <w:rtl w:val="0"/>
                <w:lang w:val="en-US"/>
              </w:rPr>
              <w:t>for Alloy Analysis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hAnsi="Cambria"/>
                <w:shd w:val="nil" w:color="auto" w:fill="auto"/>
                <w:rtl w:val="0"/>
                <w:lang w:val="en-US"/>
              </w:rPr>
              <w:t>Specifications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1301630"/>
                  <wp:effectExtent l="0" t="0" r="0" b="0"/>
                  <wp:docPr id="1073741834" name="officeArt object" descr="image5.png"/>
                  <wp:cNvGraphicFramePr/>
                  <a:graphic xmlns:a="http://schemas.openxmlformats.org/drawingml/2006/main">
                    <a:graphicData uri="http://schemas.openxmlformats.org/drawingml/2006/picture">
                      <pic:pic xmlns:pic="http://schemas.openxmlformats.org/drawingml/2006/picture">
                        <pic:nvPicPr>
                          <pic:cNvPr id="1073741834" name="image5.png" descr="image5.png"/>
                          <pic:cNvPicPr>
                            <a:picLocks noChangeAspect="1"/>
                          </pic:cNvPicPr>
                        </pic:nvPicPr>
                        <pic:blipFill>
                          <a:blip r:embed="rId13">
                            <a:extLst/>
                          </a:blip>
                          <a:stretch>
                            <a:fillRect/>
                          </a:stretch>
                        </pic:blipFill>
                        <pic:spPr>
                          <a:xfrm>
                            <a:off x="0" y="0"/>
                            <a:ext cx="2609518" cy="1301630"/>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A classic model for many applications at a great value.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817"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3654576"/>
                  <wp:effectExtent l="0" t="0" r="0" b="0"/>
                  <wp:docPr id="1073741835" name="officeArt object" descr="image12.png"/>
                  <wp:cNvGraphicFramePr/>
                  <a:graphic xmlns:a="http://schemas.openxmlformats.org/drawingml/2006/main">
                    <a:graphicData uri="http://schemas.openxmlformats.org/drawingml/2006/picture">
                      <pic:pic xmlns:pic="http://schemas.openxmlformats.org/drawingml/2006/picture">
                        <pic:nvPicPr>
                          <pic:cNvPr id="1073741835" name="image12.png" descr="image12.png"/>
                          <pic:cNvPicPr>
                            <a:picLocks noChangeAspect="1"/>
                          </pic:cNvPicPr>
                        </pic:nvPicPr>
                        <pic:blipFill>
                          <a:blip r:embed="rId14">
                            <a:extLst/>
                          </a:blip>
                          <a:stretch>
                            <a:fillRect/>
                          </a:stretch>
                        </pic:blipFill>
                        <pic:spPr>
                          <a:xfrm>
                            <a:off x="0" y="0"/>
                            <a:ext cx="2609518" cy="3654576"/>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Weight</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3.1 lbs. ( 1.40kg) with battery</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hAnsi="Cambria"/>
                <w:shd w:val="nil" w:color="auto" w:fill="auto"/>
                <w:rtl w:val="0"/>
                <w:lang w:val="en-US"/>
              </w:rPr>
              <w:t>Dimensions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9.38in (238mm) x 11.15in (283mm) x 3.34in (84mm)</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Excitation Source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4 W, 40kv Rh on alloys 50kv Au on other apps.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Detector</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3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7 mm</w:t>
            </w:r>
            <w:r>
              <w:rPr>
                <w:rFonts w:ascii="Cambria" w:hAnsi="Cambria"/>
                <w:shd w:val="nil" w:color="auto" w:fill="auto"/>
                <w:vertAlign w:val="superscript"/>
                <w:rtl w:val="0"/>
                <w:lang w:val="en-US"/>
              </w:rPr>
              <w:t>2</w:t>
            </w:r>
            <w:r>
              <w:rPr>
                <w:rFonts w:ascii="Cambria" w:hAnsi="Cambria"/>
                <w:shd w:val="nil" w:color="auto" w:fill="auto"/>
                <w:rtl w:val="0"/>
                <w:lang w:val="en-US"/>
              </w:rPr>
              <w:t xml:space="preserve"> PIN diode detector (active area), 200 eV resolution FWHM at 5.95 Mn K-alpha line.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Available Apps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hd w:val="nil" w:color="auto" w:fill="auto"/>
                <w:lang w:val="en-US"/>
              </w:rPr>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Alloy analysis, Precious Metals, Soil, Mining, Car Cats..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X-ray Filtering</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6"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Single primary beam filter for alloy, mining, precious metals. Multiple filters for soil, RoHS, car catalysts and some other apps.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Environmental Temperature Range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10F to 130F at 25% (-12.2C to 54.44C) duty cycle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Analytical Range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2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24 elements standard, specific elements vary by app.  Ti, V, Cr, Mn, Fe, Co, Ni, Cu, Zn, W, Ta, Hf, Re, Se, Au, Pb, Bi, Zr, Mo, Pd, Ag, Cd, Sn, and Sb. Additional elements may be added upon user request. Precious Metals app is 23 elements standard.</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Cambria" w:cs="Cambria" w:hAnsi="Cambria" w:eastAsia="Cambria"/>
                <w:shd w:val="nil" w:color="auto" w:fill="auto"/>
              </w:rPr>
            </w:pPr>
            <w:r>
              <w:rPr>
                <w:rFonts w:ascii="Cambria" w:hAnsi="Cambria"/>
                <w:shd w:val="nil" w:color="auto" w:fill="auto"/>
                <w:rtl w:val="0"/>
                <w:lang w:val="en-US"/>
              </w:rPr>
              <w:t xml:space="preserve">Processing Electronics </w:t>
            </w:r>
          </w:p>
          <w:p>
            <w:pPr>
              <w:pStyle w:val="Body"/>
              <w:bidi w:val="0"/>
              <w:spacing w:line="276" w:lineRule="auto"/>
              <w:ind w:left="0" w:right="0" w:firstLine="0"/>
              <w:jc w:val="left"/>
              <w:rPr>
                <w:rtl w:val="0"/>
              </w:rPr>
            </w:pPr>
            <w:r>
              <w:rPr>
                <w:rFonts w:ascii="Cambria" w:hAnsi="Cambria"/>
                <w:shd w:val="nil" w:color="auto" w:fill="auto"/>
                <w:rtl w:val="0"/>
                <w:lang w:val="en-US"/>
              </w:rPr>
              <w:t>and Host Processing</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3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1.2GHz quad ARM Cortex A53 64/32-bit, RAM: 2GB LP-DDR3, Storage: 16 GB eMMC (storage)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Pulse Processor</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12 bit with digitization rate of 80 MSPS 8K channel MCA USB 2.0 for high-speed data transfer to host processor. Digital filtering implemented in FPGA for high throughput pulse processing 20 nS - 24 uS peaking time.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Power</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6"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On-board rechargeable Li-ion battery, rechargeable inside device or with external charger, AC power. Hot-swap battery capable.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Display</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3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 xml:space="preserve">3.5-inch(88.9mm) color capacitive touchscreen </w:t>
            </w:r>
            <w:r>
              <w:rPr>
                <w:rFonts w:ascii="Cambria" w:hAnsi="Cambria" w:hint="default"/>
                <w:shd w:val="nil" w:color="auto" w:fill="auto"/>
                <w:rtl w:val="0"/>
                <w:lang w:val="en-US"/>
              </w:rPr>
              <w:t xml:space="preserve">— </w:t>
            </w:r>
            <w:r>
              <w:rPr>
                <w:rFonts w:ascii="Cambria" w:hAnsi="Cambria"/>
                <w:shd w:val="nil" w:color="auto" w:fill="auto"/>
                <w:rtl w:val="0"/>
                <w:lang w:val="en-US"/>
              </w:rPr>
              <w:t>400 MHz Qualcomm Adreno 306 2D/3D graphics accelerator</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Sample Viewing</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Internal camera for viewing sample before and during analysis for proper sample alignment. Second macro-camera for scanning QR or barcodes and for photo-documentation and report generation.</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Comms/Data Transfer</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56"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 xml:space="preserve">Wi-Fi, Bluetooth, USB connectivity to most devices, including SciAps Profile Builder PC software. SciAps Cloud data management options available.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Calibration</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 xml:space="preserve">Fundamental parameters. </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Calibration Check</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3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External 316 stainless check standard for calibration verification and energy scale validation.</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Security</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Password protected usage (user level) and internal settings (admin).</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Dual Cameras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78"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Internal high-resolution camera for sample viewing, welds, etc. Macro-camera for photo documentation, reading and storing 2D/3D barcodes and QR codes.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Regulatory</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mbria" w:hAnsi="Cambria"/>
                <w:shd w:val="nil" w:color="auto" w:fill="auto"/>
                <w:rtl w:val="0"/>
                <w:lang w:val="en-US"/>
              </w:rPr>
              <w:t>CE, RoHS, USFDA registered, Canada RED Act.</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OCT</w:t>
            </w:r>
            <w:r>
              <w:rPr>
                <w:rFonts w:ascii="Cambria" w:hAnsi="Cambria"/>
                <w:shd w:val="nil" w:color="auto" w:fill="auto"/>
                <w:rtl w:val="0"/>
                <w:lang w:val="en-US"/>
              </w:rPr>
              <w:t>2022</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0"/>
              <w:bottom w:type="dxa" w:w="80"/>
              <w:right w:type="dxa" w:w="80"/>
            </w:tcMar>
            <w:vAlign w:val="top"/>
          </w:tcPr>
          <w:p>
            <w:pPr>
              <w:pStyle w:val="Body"/>
              <w:spacing w:line="276" w:lineRule="auto"/>
              <w:ind w:left="60" w:firstLine="0"/>
            </w:pPr>
            <w:r>
              <w:rPr>
                <w:rFonts w:ascii="Cambria" w:hAnsi="Cambria"/>
                <w:shd w:val="nil" w:color="auto" w:fill="auto"/>
                <w:rtl w:val="0"/>
                <w:lang w:val="en-US"/>
              </w:rPr>
              <w:t>YouTube.com/SciAps</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64" w:hRule="atLeast"/>
        </w:trPr>
        <w:tc>
          <w:tcPr>
            <w:tcW w:type="dxa" w:w="4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lang w:val="en-US"/>
              </w:rPr>
              <w:drawing xmlns:a="http://schemas.openxmlformats.org/drawingml/2006/main">
                <wp:inline distT="0" distB="0" distL="0" distR="0">
                  <wp:extent cx="2609518" cy="763456"/>
                  <wp:effectExtent l="0" t="0" r="0" b="0"/>
                  <wp:docPr id="1073741836" name="officeArt object" descr="image4.png"/>
                  <wp:cNvGraphicFramePr/>
                  <a:graphic xmlns:a="http://schemas.openxmlformats.org/drawingml/2006/main">
                    <a:graphicData uri="http://schemas.openxmlformats.org/drawingml/2006/picture">
                      <pic:pic xmlns:pic="http://schemas.openxmlformats.org/drawingml/2006/picture">
                        <pic:nvPicPr>
                          <pic:cNvPr id="1073741836" name="image4.png" descr="image4.png"/>
                          <pic:cNvPicPr>
                            <a:picLocks noChangeAspect="1"/>
                          </pic:cNvPicPr>
                        </pic:nvPicPr>
                        <pic:blipFill>
                          <a:blip r:embed="rId15">
                            <a:extLst/>
                          </a:blip>
                          <a:stretch>
                            <a:fillRect/>
                          </a:stretch>
                        </pic:blipFill>
                        <pic:spPr>
                          <a:xfrm>
                            <a:off x="0" y="0"/>
                            <a:ext cx="2609518" cy="763456"/>
                          </a:xfrm>
                          <a:prstGeom prst="rect">
                            <a:avLst/>
                          </a:prstGeom>
                          <a:ln w="12700" cap="flat">
                            <a:noFill/>
                            <a:miter lim="400000"/>
                          </a:ln>
                          <a:effectLst/>
                        </pic:spPr>
                      </pic:pic>
                    </a:graphicData>
                  </a:graphic>
                </wp:inline>
              </w:drawing>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mbria" w:cs="Cambria" w:hAnsi="Cambria" w:eastAsia="Cambria"/>
                <w:shd w:val="nil" w:color="auto" w:fill="auto"/>
              </w:rPr>
            </w:pPr>
            <w:r>
              <w:rPr>
                <w:rFonts w:ascii="Cambria" w:hAnsi="Cambria"/>
                <w:shd w:val="nil" w:color="auto" w:fill="auto"/>
                <w:rtl w:val="0"/>
                <w:lang w:val="en-US"/>
              </w:rPr>
              <w:t xml:space="preserve">If applicable, please add: </w:t>
            </w:r>
          </w:p>
          <w:p>
            <w:pPr>
              <w:pStyle w:val="Body"/>
              <w:bidi w:val="0"/>
              <w:ind w:left="0" w:right="0" w:firstLine="0"/>
              <w:jc w:val="left"/>
              <w:rPr>
                <w:rFonts w:ascii="Cambria" w:cs="Cambria" w:hAnsi="Cambria" w:eastAsia="Cambria"/>
                <w:shd w:val="nil" w:color="auto" w:fill="auto"/>
                <w:rtl w:val="0"/>
              </w:rPr>
            </w:pPr>
            <w:r>
              <w:rPr>
                <w:rFonts w:ascii="Cambria" w:hAnsi="Cambria"/>
                <w:shd w:val="nil" w:color="auto" w:fill="auto"/>
                <w:rtl w:val="0"/>
                <w:lang w:val="en-US"/>
              </w:rPr>
              <w:t>LOCAL COMPANY NAME</w:t>
            </w:r>
          </w:p>
          <w:p>
            <w:pPr>
              <w:pStyle w:val="Body"/>
              <w:bidi w:val="0"/>
              <w:ind w:left="0" w:right="0" w:firstLine="0"/>
              <w:jc w:val="left"/>
              <w:rPr>
                <w:rFonts w:ascii="Cambria" w:cs="Cambria" w:hAnsi="Cambria" w:eastAsia="Cambria"/>
                <w:shd w:val="nil" w:color="auto" w:fill="auto"/>
                <w:rtl w:val="0"/>
              </w:rPr>
            </w:pPr>
            <w:r>
              <w:rPr>
                <w:rFonts w:ascii="Cambria" w:hAnsi="Cambria"/>
                <w:shd w:val="nil" w:color="auto" w:fill="auto"/>
                <w:rtl w:val="0"/>
                <w:lang w:val="en-US"/>
              </w:rPr>
              <w:t>LOCAL WEBSITE</w:t>
            </w:r>
          </w:p>
          <w:p>
            <w:pPr>
              <w:pStyle w:val="Body"/>
              <w:bidi w:val="0"/>
              <w:ind w:left="0" w:right="0" w:firstLine="0"/>
              <w:jc w:val="left"/>
              <w:rPr>
                <w:rtl w:val="0"/>
              </w:rPr>
            </w:pPr>
            <w:r>
              <w:rPr>
                <w:rFonts w:ascii="Cambria" w:hAnsi="Cambria"/>
                <w:shd w:val="nil" w:color="auto" w:fill="auto"/>
                <w:rtl w:val="0"/>
                <w:lang w:val="en-US"/>
              </w:rPr>
              <w:t>LOCAL PHONE</w:t>
            </w:r>
          </w:p>
        </w:tc>
        <w:tc>
          <w:tcPr>
            <w:tcW w:type="dxa" w:w="43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200"/>
        <w:ind w:left="108" w:hanging="108"/>
      </w:pPr>
      <w:r>
        <w:rPr>
          <w:rFonts w:ascii="Cambria" w:cs="Cambria" w:hAnsi="Cambria" w:eastAsia="Cambria"/>
          <w:outline w:val="0"/>
          <w:color w:val="000000"/>
          <w:u w:color="000000"/>
          <w14:textFill>
            <w14:solidFill>
              <w14:srgbClr w14:val="000000"/>
            </w14:solidFill>
          </w14:textFill>
        </w:rPr>
      </w:r>
    </w:p>
    <w:sectPr>
      <w:headerReference w:type="default" r:id="rId16"/>
      <w:footerReference w:type="default" r:id="rId17"/>
      <w:pgSz w:w="15840" w:h="12240" w:orient="landscape"/>
      <w:pgMar w:top="1800" w:right="1440" w:bottom="180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Roboto Medium">
    <w:charset w:val="00"/>
    <w:family w:val="roman"/>
    <w:pitch w:val="default"/>
  </w:font>
  <w:font w:name="Robo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