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Document Title: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SciAps TranslationTable_Z-901 Lithium Specifications</w:t>
      </w:r>
    </w:p>
    <w:p w:rsidR="00000000" w:rsidDel="00000000" w:rsidP="00000000" w:rsidRDefault="00000000" w:rsidRPr="00000000" w14:paraId="0000000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  <w:color w:val="000000"/>
          <w:rtl w:val="0"/>
        </w:rPr>
        <w:t xml:space="preserve">Rev Date: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1221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after="200" w:lineRule="auto"/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2014538" cy="2600262"/>
            <wp:effectExtent b="0" l="0" r="0" t="0"/>
            <wp:docPr id="1073741871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014538" cy="260026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Ind w:w="108.0" w:type="dxa"/>
        <w:tblBorders>
          <w:top w:color="ffffff" w:space="0" w:sz="8" w:val="single"/>
          <w:left w:color="ffffff" w:space="0" w:sz="8" w:val="single"/>
          <w:bottom w:color="ffffff" w:space="0" w:sz="8" w:val="single"/>
          <w:right w:color="ffffff" w:space="0" w:sz="8" w:val="single"/>
          <w:insideH w:color="ffffff" w:space="0" w:sz="8" w:val="single"/>
          <w:insideV w:color="ffffff" w:space="0" w:sz="8" w:val="single"/>
        </w:tblBorders>
        <w:tblLayout w:type="fixed"/>
        <w:tblLook w:val="0000"/>
      </w:tblPr>
      <w:tblGrid>
        <w:gridCol w:w="4319"/>
        <w:gridCol w:w="4320"/>
        <w:gridCol w:w="4321"/>
        <w:tblGridChange w:id="0">
          <w:tblGrid>
            <w:gridCol w:w="4319"/>
            <w:gridCol w:w="4320"/>
            <w:gridCol w:w="4321"/>
          </w:tblGrid>
        </w:tblGridChange>
      </w:tblGrid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dfec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200" w:lineRule="auto"/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000000"/>
                <w:rtl w:val="0"/>
              </w:rPr>
              <w:t xml:space="preserve">Layout Preview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dfec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Roboto" w:cs="Roboto" w:eastAsia="Roboto" w:hAnsi="Roboto"/>
                <w:b w:val="1"/>
                <w:color w:val="000000"/>
              </w:rPr>
            </w:pPr>
            <w:r w:rsidDel="00000000" w:rsidR="00000000" w:rsidRPr="00000000">
              <w:rPr>
                <w:rFonts w:ascii="Roboto" w:cs="Roboto" w:eastAsia="Roboto" w:hAnsi="Roboto"/>
                <w:b w:val="1"/>
                <w:color w:val="000000"/>
                <w:rtl w:val="0"/>
              </w:rPr>
              <w:t xml:space="preserve">English Text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e5dfec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mbria" w:cs="Cambria" w:eastAsia="Cambria" w:hAnsi="Cambria"/>
                <w:color w:val="000000"/>
              </w:rPr>
            </w:pPr>
            <w:r w:rsidDel="00000000" w:rsidR="00000000" w:rsidRPr="00000000">
              <w:rPr>
                <w:rFonts w:ascii="Roboto Medium" w:cs="Roboto Medium" w:eastAsia="Roboto Medium" w:hAnsi="Roboto Medium"/>
                <w:color w:val="000000"/>
                <w:rtl w:val="0"/>
              </w:rPr>
              <w:t xml:space="preserve">Translated Text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825500"/>
                  <wp:effectExtent b="0" l="0" r="0" t="0"/>
                  <wp:docPr id="1073741869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825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8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 Z-901 Lithium 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Specifications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6477000"/>
                  <wp:effectExtent b="0" l="0" r="0" t="0"/>
                  <wp:docPr id="107374187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6477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E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One Box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1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Pair Z-901 Lithium with our industry-leading XRF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4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unit and get optimal analysis across every element in the periodic table and every sample type.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7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XRF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A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Great for transition and heavy metals.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D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Easy to use especially on bulk, soil, and ore type materials.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1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0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LIBS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3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Analyze elements XRF can’t test: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6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Li, Be, B, C, F, Na and more Improved performance on Mg, Ca, K compared to XRF Microanalysis capability with 100 um laser spot size. SciAps Z-902 Lithium analyzer offers an extended spectrometer range for those users who need to additionally measure boron, magnesium, sodium,  and perhaps other metals in brines.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8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406400"/>
                  <wp:effectExtent b="0" l="0" r="0" t="0"/>
                  <wp:docPr id="107374187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406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9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 Z Series is the world’s only handheld analyzer offering in-field, instant analysis of lithium in rocks, ores, powders, and brines — in use globally for lithium exploration projects, with no travel restrictions or licensing headaches.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B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2476500"/>
                  <wp:effectExtent b="0" l="0" r="0" t="0"/>
                  <wp:docPr id="1073741873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476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C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World’s only handheld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2F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analyzer for lithium in soils, ores and brines.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1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2209800"/>
                  <wp:effectExtent b="0" l="0" r="0" t="0"/>
                  <wp:docPr id="1073741872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2209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2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Exacting elemental analysis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Purpose-built handheld LIBS for measuring lithium in rocks and brines. Factory calibrated for lithium in pegmatite, clays and micas, including relevant base elements in the 350-675 nm range. SciAps also offers the Z-902 Lithium, containing a second spectrometer to extend the analytical range down to 210 nm for users testing brines for other elements, including boron, magnesium, calcium, and potassium.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8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Intuitive operations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B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Android operating system and app-based software assure quality testing by every operator. Built-in Wi-Fi and Bluetooth, with GPS capability, allow users to print, email, and connect to virtually any information management system for full-featured reporting. Automatically merge XRF and LIBS tests with SciAps Cloud Services, and easily manage operations from anywhere.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E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Designed for field and lab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3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1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 LIBS series handheld analyzers, at just 3.5 lbs. (1.6 kg) with battery, have an internal camera for precise targeting of analysis locations; a macro camera for photo-documentation of samples, reading bar codes and QR codes; a patented “sample sensor” that allows Class 1 operation (subject to LSO approval); high-resolution, rear-facing display for easy viewing; rugged metal body for maximum durability; a tapered, narrow snout for difficult-to-access test locations; and user-replaceable argon that provides hundreds of tests at pennies per test. Pair with Profile Builder software for PC or tablet and achieve full benchtop functionality.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3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57400" cy="1695450"/>
                  <wp:effectExtent b="0" l="0" r="0" t="0"/>
                  <wp:docPr id="1073741870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695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4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For more information, or to schedule a demonstration: 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7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SciAps.com </w:t>
              <w:br w:type="textWrapping"/>
              <w:t xml:space="preserve">Local Phone Number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9">
            <w:pPr>
              <w:rPr/>
            </w:pPr>
            <w:r w:rsidDel="00000000" w:rsidR="00000000" w:rsidRPr="00000000">
              <w:rPr>
                <w:rtl w:val="0"/>
              </w:rPr>
              <w:t xml:space="preserve">(BACK)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A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C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787400"/>
                  <wp:effectExtent b="0" l="0" r="0" t="0"/>
                  <wp:docPr id="1073741876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787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D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 Z-901 Lithium 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4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0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Specifications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2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095500" cy="1619250"/>
                  <wp:effectExtent b="0" l="0" r="0" t="0"/>
                  <wp:docPr id="1073741868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500" cy="16192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3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 dedicated handheld LIBS for lithium measurements 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5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3581400"/>
                  <wp:effectExtent b="0" l="0" r="0" t="0"/>
                  <wp:docPr id="107374187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3581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6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Weight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9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3.87 lbs. with battery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C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Dimensions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5F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10.75" x 2.375" x 8.625"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2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Display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5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2.7″ high brightness, color touchscreen, readable in all lighting conditions. Rear facing display for easy results viewing.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8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Power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B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On-board rechargeable Li-ion battery, rechargeable inside device or with external charger, AC power.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E">
            <w:pPr>
              <w:spacing w:line="276" w:lineRule="auto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Processing electronics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6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1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ARM Quad Cortex -A53 1.2 GHz Memory: 2 GB LPDDR3, eMMC 16 GB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4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Data storage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7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Results Storage: 32 GB SD card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A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Connectivity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D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Built on Google’s Android platform for real-time data exporting, including built-in WiFi (IEEE 802.11b/g/n), Bluetooth (BR/EDR+BLE), GPS and USB-C to connect to virtually any information management system.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7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0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Sample viewing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3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Integrated camera and laser target indicator for viewing sample before and during analysis for proper sample alignment. Includes second “macro camera” for scanning QR or bar codes and for photo-documentation and report generation.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5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7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Laser raster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A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On-board Y stage for rastering laser to discrete locations for targeted analysis or averaging.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D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Atmosphere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8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0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SciAps proprietary Opti-Purge provides an inert argon environment improving spectral signal to noise ratio and improving performance in  the UV range.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3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Calibration check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6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316 stainless steel standard for automated calibration and wavelength  scale validation.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9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Drift correction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C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On-board automated drift correction software with factory-provided or user-provided reference materials.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9F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Regulatory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2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CE, RoHS, USFDA registered. Class 3b laser. Sample sensor on board, allows for operation under Class 1 conditions, subject to local LSO approval.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4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5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Spectral range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8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350–675 nm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A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B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Calibrations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E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Li in pegmatites, Li in clay, Li in mica-schists. Additional matrix matched calibrations can be built by operator using Profile Builder software for  PC and tablet.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AF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1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Security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4">
            <w:pPr>
              <w:spacing w:line="276" w:lineRule="auto"/>
              <w:ind w:left="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Password protected; Multi-user support with configurable access settings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6">
            <w:pPr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47950" cy="774700"/>
                  <wp:effectExtent b="0" l="0" r="0" t="0"/>
                  <wp:docPr id="1073741877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7950" cy="774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7">
            <w:pPr>
              <w:spacing w:line="276" w:lineRule="auto"/>
              <w:ind w:left="60" w:firstLine="0"/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YouTube.com/SciAps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9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A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If applicable, please add: </w:t>
            </w:r>
          </w:p>
          <w:p w:rsidR="00000000" w:rsidDel="00000000" w:rsidP="00000000" w:rsidRDefault="00000000" w:rsidRPr="00000000" w14:paraId="000000BB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LOCAL COMPANY NAME</w:t>
            </w:r>
          </w:p>
          <w:p w:rsidR="00000000" w:rsidDel="00000000" w:rsidP="00000000" w:rsidRDefault="00000000" w:rsidRPr="00000000" w14:paraId="000000BC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LOCAL WEBSITE</w:t>
            </w:r>
          </w:p>
          <w:p w:rsidR="00000000" w:rsidDel="00000000" w:rsidP="00000000" w:rsidRDefault="00000000" w:rsidRPr="00000000" w14:paraId="000000BD">
            <w:pPr>
              <w:rPr>
                <w:rFonts w:ascii="Cambria" w:cs="Cambria" w:eastAsia="Cambria" w:hAnsi="Cambria"/>
              </w:rPr>
            </w:pPr>
            <w:r w:rsidDel="00000000" w:rsidR="00000000" w:rsidRPr="00000000">
              <w:rPr>
                <w:rFonts w:ascii="Cambria" w:cs="Cambria" w:eastAsia="Cambria" w:hAnsi="Cambria"/>
                <w:rtl w:val="0"/>
              </w:rPr>
              <w:t xml:space="preserve">LOCAL PHONE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tcMar>
              <w:top w:w="80.0" w:type="dxa"/>
              <w:left w:w="80.0" w:type="dxa"/>
              <w:bottom w:w="80.0" w:type="dxa"/>
              <w:right w:w="80.0" w:type="dxa"/>
            </w:tcMar>
          </w:tcPr>
          <w:p w:rsidR="00000000" w:rsidDel="00000000" w:rsidP="00000000" w:rsidRDefault="00000000" w:rsidRPr="00000000" w14:paraId="000000B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F">
      <w:pPr>
        <w:rPr>
          <w:rFonts w:ascii="Cambria" w:cs="Cambria" w:eastAsia="Cambria" w:hAnsi="Cambria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18" w:type="default"/>
      <w:footerReference r:id="rId19" w:type="default"/>
      <w:pgSz w:h="12240" w:w="15840" w:orient="landscape"/>
      <w:pgMar w:bottom="1800" w:top="180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Roboto Medium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Robot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Helvetica Neue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1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C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right" w:pos="9020"/>
      </w:tabs>
      <w:rPr>
        <w:rFonts w:ascii="Helvetica Neue" w:cs="Helvetica Neue" w:eastAsia="Helvetica Neue" w:hAnsi="Helvetica Neue"/>
        <w:color w:val="000000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</w:style>
  <w:style w:type="paragraph" w:styleId="Heading1">
    <w:name w:val="heading 1"/>
    <w:basedOn w:val="Normal"/>
    <w:next w:val="Normal"/>
    <w:uiPriority w:val="9"/>
    <w:qFormat w:val="1"/>
    <w:pPr>
      <w:keepNext w:val="1"/>
      <w:keepLines w:val="1"/>
      <w:spacing w:after="120" w:before="480"/>
      <w:outlineLvl w:val="0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360"/>
      <w:outlineLvl w:val="1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80" w:before="280"/>
      <w:outlineLvl w:val="2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40"/>
      <w:outlineLvl w:val="3"/>
    </w:pPr>
    <w:rPr>
      <w:b w:val="1"/>
    </w:rPr>
  </w:style>
  <w:style w:type="paragraph" w:styleId="Heading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20"/>
      <w:outlineLvl w:val="4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after="40" w:before="20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character" w:styleId="Hyperlink">
    <w:name w:val="Hyperlink"/>
    <w:rPr>
      <w:u w:val="single"/>
    </w:rPr>
  </w:style>
  <w:style w:type="paragraph" w:styleId="HeaderFooter" w:customStyle="1">
    <w:name w:val="Header &amp; Footer"/>
    <w:pPr>
      <w:tabs>
        <w:tab w:val="right" w:pos="9020"/>
      </w:tabs>
    </w:pPr>
    <w:rPr>
      <w:rFonts w:ascii="Helvetica Neue" w:cs="Arial Unicode MS" w:eastAsia="Arial Unicode MS" w:hAnsi="Helvetica Neue"/>
      <w:color w:val="000000"/>
      <w14:textOutline w14:cap="flat" w14:cmpd="sng" w14:algn="ctr">
        <w14:noFill/>
        <w14:prstDash w14:val="solid"/>
        <w14:bevel/>
      </w14:textOutline>
    </w:rPr>
  </w:style>
  <w:style w:type="paragraph" w:styleId="Body" w:customStyle="1">
    <w:name w:val="Body"/>
    <w:pPr>
      <w:spacing w:after="200"/>
    </w:pPr>
    <w:rPr>
      <w:rFonts w:ascii="Cambria" w:cs="Arial Unicode MS" w:eastAsia="Arial Unicode MS" w:hAnsi="Cambria"/>
      <w:color w:val="000000"/>
      <w:u w:color="000000"/>
      <w:lang w:val="fr-FR"/>
      <w14:textOutline w14:cap="flat" w14:cmpd="sng" w14:algn="ctr">
        <w14:noFill/>
        <w14:prstDash w14:val="solid"/>
        <w14:bevel/>
      </w14:textOutline>
    </w:rPr>
  </w:style>
  <w:style w:type="paragraph" w:styleId="Default" w:customStyle="1">
    <w:name w:val="Default"/>
    <w:rPr>
      <w:rFonts w:ascii="Helvetica Neue" w:cs="Arial Unicode MS" w:eastAsia="Arial Unicode MS" w:hAnsi="Helvetica Neue"/>
      <w:color w:val="000000"/>
      <w:sz w:val="22"/>
      <w:szCs w:val="22"/>
      <w:lang w:val="da-DK"/>
      <w14:textOutline w14:cap="flat" w14:cmpd="sng" w14:algn="ctr">
        <w14:noFill/>
        <w14:prstDash w14:val="solid"/>
        <w14:bevel/>
      </w14:textOutline>
    </w:rPr>
  </w:style>
  <w:style w:type="character" w:styleId="Hyperlink0" w:customStyle="1">
    <w:name w:val="Hyperlink.0"/>
    <w:basedOn w:val="Hyperlink"/>
    <w:rPr>
      <w:outline w:val="0"/>
      <w:color w:val="0000ff"/>
      <w:u w:color="0000ff" w:val="single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left w:w="115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6.png"/><Relationship Id="rId10" Type="http://schemas.openxmlformats.org/officeDocument/2006/relationships/image" Target="media/image3.png"/><Relationship Id="rId13" Type="http://schemas.openxmlformats.org/officeDocument/2006/relationships/image" Target="media/image4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2.png"/><Relationship Id="rId14" Type="http://schemas.openxmlformats.org/officeDocument/2006/relationships/image" Target="media/image5.png"/><Relationship Id="rId17" Type="http://schemas.openxmlformats.org/officeDocument/2006/relationships/image" Target="media/image8.png"/><Relationship Id="rId16" Type="http://schemas.openxmlformats.org/officeDocument/2006/relationships/image" Target="media/image11.png"/><Relationship Id="rId5" Type="http://schemas.openxmlformats.org/officeDocument/2006/relationships/styles" Target="styles.xml"/><Relationship Id="rId19" Type="http://schemas.openxmlformats.org/officeDocument/2006/relationships/footer" Target="footer1.xml"/><Relationship Id="rId6" Type="http://schemas.openxmlformats.org/officeDocument/2006/relationships/customXml" Target="../customXML/item1.xml"/><Relationship Id="rId18" Type="http://schemas.openxmlformats.org/officeDocument/2006/relationships/header" Target="header1.xml"/><Relationship Id="rId7" Type="http://schemas.openxmlformats.org/officeDocument/2006/relationships/image" Target="media/image7.png"/><Relationship Id="rId8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RobotoMedium-regular.ttf"/><Relationship Id="rId2" Type="http://schemas.openxmlformats.org/officeDocument/2006/relationships/font" Target="fonts/RobotoMedium-bold.ttf"/><Relationship Id="rId3" Type="http://schemas.openxmlformats.org/officeDocument/2006/relationships/font" Target="fonts/RobotoMedium-italic.ttf"/><Relationship Id="rId4" Type="http://schemas.openxmlformats.org/officeDocument/2006/relationships/font" Target="fonts/RobotoMedium-boldItalic.ttf"/><Relationship Id="rId11" Type="http://schemas.openxmlformats.org/officeDocument/2006/relationships/font" Target="fonts/HelveticaNeue-italic.ttf"/><Relationship Id="rId10" Type="http://schemas.openxmlformats.org/officeDocument/2006/relationships/font" Target="fonts/HelveticaNeue-bold.ttf"/><Relationship Id="rId12" Type="http://schemas.openxmlformats.org/officeDocument/2006/relationships/font" Target="fonts/HelveticaNeue-boldItalic.ttf"/><Relationship Id="rId9" Type="http://schemas.openxmlformats.org/officeDocument/2006/relationships/font" Target="fonts/HelveticaNeue-regular.ttf"/><Relationship Id="rId5" Type="http://schemas.openxmlformats.org/officeDocument/2006/relationships/font" Target="fonts/Roboto-regular.ttf"/><Relationship Id="rId6" Type="http://schemas.openxmlformats.org/officeDocument/2006/relationships/font" Target="fonts/Roboto-bold.ttf"/><Relationship Id="rId7" Type="http://schemas.openxmlformats.org/officeDocument/2006/relationships/font" Target="fonts/Roboto-italic.ttf"/><Relationship Id="rId8" Type="http://schemas.openxmlformats.org/officeDocument/2006/relationships/font" Target="fonts/Roboto-boldItalic.ttf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H74j5iOnzr2u+YQdtxvbmyWLMkw==">AMUW2mU+o29IOSGC+TjKvHQ428nXVqFXVgrkUkYsyrNBlhas2cRyleqk/sdqC9wD43Jra7TFPXfJClVx7fAhYZYhEEyMqylj/xpbTdabRITEon8KECwqWWs=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2020-03-18T20:47:00Z</dcterms:created>
</cp:coreProperties>
</file>