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D38" w:rsidRPr="00C7174D" w:rsidRDefault="00F06BBF">
      <w:pPr>
        <w:pStyle w:val="Brdtekst"/>
        <w:rPr>
          <w:rStyle w:val="PageNumber"/>
          <w:rFonts w:asciiTheme="majorHAnsi" w:eastAsia="Verdana" w:hAnsiTheme="majorHAnsi" w:cstheme="majorHAnsi"/>
          <w:b/>
          <w:bCs/>
          <w:sz w:val="20"/>
          <w:szCs w:val="20"/>
        </w:rPr>
      </w:pPr>
      <w:r w:rsidRPr="00C7174D">
        <w:rPr>
          <w:rStyle w:val="PageNumber"/>
          <w:rFonts w:asciiTheme="majorHAnsi" w:eastAsia="Verdana" w:hAnsiTheme="majorHAnsi" w:cstheme="majorHAnsi"/>
          <w:b/>
          <w:bCs/>
          <w:noProof/>
          <w:sz w:val="20"/>
          <w:szCs w:val="20"/>
        </w:rPr>
        <mc:AlternateContent>
          <mc:Choice Requires="wpg">
            <w:drawing>
              <wp:anchor distT="0" distB="0" distL="0" distR="0" simplePos="0" relativeHeight="251660288" behindDoc="0" locked="0" layoutInCell="1" allowOverlap="1">
                <wp:simplePos x="0" y="0"/>
                <wp:positionH relativeFrom="column">
                  <wp:posOffset>18732</wp:posOffset>
                </wp:positionH>
                <wp:positionV relativeFrom="line">
                  <wp:posOffset>0</wp:posOffset>
                </wp:positionV>
                <wp:extent cx="9215757" cy="546481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9215757" cy="5464810"/>
                          <a:chOff x="0" y="0"/>
                          <a:chExt cx="9215756" cy="5464809"/>
                        </a:xfrm>
                      </wpg:grpSpPr>
                      <wps:wsp>
                        <wps:cNvPr id="1073741825" name="Shape 1073741825"/>
                        <wps:cNvSpPr/>
                        <wps:spPr>
                          <a:xfrm>
                            <a:off x="-1" y="0"/>
                            <a:ext cx="9215757" cy="546481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1" y="0"/>
                            <a:ext cx="9215757" cy="5464810"/>
                          </a:xfrm>
                          <a:prstGeom prst="rect">
                            <a:avLst/>
                          </a:prstGeom>
                          <a:noFill/>
                          <a:ln w="12700" cap="flat">
                            <a:noFill/>
                            <a:miter lim="400000"/>
                          </a:ln>
                          <a:effectLst/>
                        </wps:spPr>
                        <wps:txbx>
                          <w:txbxContent>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F06BBF">
                              <w:pPr>
                                <w:pStyle w:val="Brdtekst"/>
                                <w:jc w:val="center"/>
                                <w:rPr>
                                  <w:rStyle w:val="PageNumber"/>
                                  <w:rFonts w:ascii="Verdana" w:eastAsia="Verdana" w:hAnsi="Verdana" w:cs="Verdana"/>
                                  <w:b/>
                                  <w:bCs/>
                                  <w:i/>
                                  <w:iCs/>
                                  <w:sz w:val="32"/>
                                  <w:szCs w:val="32"/>
                                </w:rPr>
                              </w:pPr>
                              <w:r>
                                <w:rPr>
                                  <w:rStyle w:val="PageNumber"/>
                                  <w:rFonts w:ascii="Verdana" w:hAnsi="Verdana"/>
                                  <w:b/>
                                  <w:bCs/>
                                  <w:sz w:val="32"/>
                                  <w:szCs w:val="32"/>
                                  <w:lang w:val="en-US"/>
                                </w:rPr>
                                <w:t>Form for “</w:t>
                              </w:r>
                              <w:r>
                                <w:rPr>
                                  <w:rStyle w:val="PageNumber"/>
                                  <w:rFonts w:ascii="Verdana" w:hAnsi="Verdana"/>
                                  <w:b/>
                                  <w:bCs/>
                                  <w:i/>
                                  <w:iCs/>
                                  <w:sz w:val="32"/>
                                  <w:szCs w:val="32"/>
                                  <w:lang w:val="en-US"/>
                                </w:rPr>
                                <w:t xml:space="preserve">Statutory report on foundation governance, </w:t>
                              </w:r>
                            </w:p>
                            <w:p w:rsidR="00984D38" w:rsidRDefault="00F06BBF">
                              <w:pPr>
                                <w:pStyle w:val="Brdtekst"/>
                                <w:jc w:val="center"/>
                                <w:rPr>
                                  <w:rStyle w:val="PageNumber"/>
                                  <w:rFonts w:ascii="Verdana" w:eastAsia="Verdana" w:hAnsi="Verdana" w:cs="Verdana"/>
                                  <w:b/>
                                  <w:bCs/>
                                  <w:sz w:val="32"/>
                                  <w:szCs w:val="32"/>
                                </w:rPr>
                              </w:pPr>
                              <w:r>
                                <w:rPr>
                                  <w:rStyle w:val="PageNumber"/>
                                  <w:rFonts w:ascii="Verdana" w:hAnsi="Verdana"/>
                                  <w:b/>
                                  <w:bCs/>
                                  <w:i/>
                                  <w:iCs/>
                                  <w:sz w:val="32"/>
                                  <w:szCs w:val="32"/>
                                  <w:lang w:val="en-US"/>
                                </w:rPr>
                                <w:t>cf. section 77a of the Danish Financial Statements Act</w:t>
                              </w:r>
                              <w:r>
                                <w:rPr>
                                  <w:rStyle w:val="PageNumber"/>
                                  <w:rFonts w:ascii="Verdana" w:hAnsi="Verdana"/>
                                  <w:b/>
                                  <w:bCs/>
                                  <w:sz w:val="32"/>
                                  <w:szCs w:val="32"/>
                                  <w:lang w:val="en-US"/>
                                </w:rPr>
                                <w:t>”.</w:t>
                              </w:r>
                            </w:p>
                            <w:p w:rsidR="00984D38" w:rsidRDefault="00984D38">
                              <w:pPr>
                                <w:pStyle w:val="Brdtekst"/>
                                <w:jc w:val="center"/>
                                <w:rPr>
                                  <w:rFonts w:ascii="Verdana" w:eastAsia="Verdana" w:hAnsi="Verdana" w:cs="Verdana"/>
                                  <w:b/>
                                  <w:bCs/>
                                  <w:sz w:val="32"/>
                                  <w:szCs w:val="32"/>
                                </w:rPr>
                              </w:pPr>
                            </w:p>
                            <w:p w:rsidR="00984D38" w:rsidRDefault="00984D38">
                              <w:pPr>
                                <w:pStyle w:val="Brdtekst"/>
                                <w:jc w:val="center"/>
                                <w:rPr>
                                  <w:rFonts w:ascii="Verdana" w:eastAsia="Verdana" w:hAnsi="Verdana" w:cs="Verdana"/>
                                  <w:b/>
                                  <w:bCs/>
                                  <w:sz w:val="32"/>
                                  <w:szCs w:val="32"/>
                                </w:rPr>
                              </w:pPr>
                            </w:p>
                            <w:p w:rsidR="00984D38" w:rsidRDefault="00F06BBF">
                              <w:pPr>
                                <w:pStyle w:val="Brdtekst"/>
                                <w:jc w:val="center"/>
                              </w:pPr>
                              <w:r>
                                <w:rPr>
                                  <w:rStyle w:val="PageNumber"/>
                                  <w:rFonts w:ascii="Verdana" w:hAnsi="Verdana"/>
                                  <w:b/>
                                  <w:bCs/>
                                  <w:i/>
                                  <w:iCs/>
                                  <w:sz w:val="44"/>
                                  <w:szCs w:val="44"/>
                                  <w:lang w:val="da-DK"/>
                                </w:rPr>
                                <w:t>THE WHY Foundation</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1.45pt;margin-top:0;width:725.65pt;height:430.3pt;z-index:251660288;mso-wrap-distance-left:0;mso-wrap-distance-right:0;mso-position-vertical-relative:line" coordsize="92157,5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JhAIAAN4GAAAOAAAAZHJzL2Uyb0RvYy54bWzMVd1q2zAUvh/sHYTuW9tZnKQmTinNWgZj&#10;K3R7AEWWbQ39TVLi9O13JKeOkxY2OhjzheIjn9/vO+dkeb2XAu2YdVyrEmeXKUZMUV1x1ZT4+7e7&#10;iwVGzhNVEaEVK/ETc/h69f7dsjMFm+hWi4pZBE6UKzpT4tZ7UySJoy2TxF1qwxR8rLWVxINom6Sy&#10;pAPvUiSTNJ0lnbaVsZoy5+B23X/Eq+i/rhn1X+vaMY9EiSE3H08bz004k9WSFI0lpuX0kAZ5QxaS&#10;cAVBB1dr4gnaWv7CleTUaqdrf0m1THRdc8piDVBNlp5Vc2/11sRamqJrzAATQHuG05vd0i+7B4t4&#10;Bdyl8w/zabaYzDFSRAJXfXY31iO9+QFIBrA60xRgc2/No3mwh4uml0L9+9rK8Au2aB9hfhpgZnuP&#10;KFxeTbJ8nkMYCt/y6Wy6yA5E0BbYemFH248nlrORZXoVskqeAychvyGdzkBTuSNu7u9we2yJYZEO&#10;FzA4xy1/xi3qoQHPvMct2gygucIBfq8gdpFh9OeQDYWTwljn75mWKLyU2AbCgn+y++x8j9GzSrh2&#10;WvDqjgsRBdtsboVFOwJjchefA6wnakKhDujLJ1AqJTCttSB9kBM1N/aWxuc1byGbNXFtHzV6CGqk&#10;gK5XVZ+xUOGCxUE+lBFI7bELbxtdPcU+BOYj2aFF/yXr0Iz9tJyxPvsvWVc6UB5R7snMJvMU9uIp&#10;myMtyT3sZ8FliadjJn9LjN9v9hDnyBHqYMuW2P3cEsswEp8UjOM0n2dXsJbHgh0Lm7GgtvJWQ4fC&#10;iBBFWw17vG8/pW+2Xtc89vkxJCyGoSviZoAlGpfFYeGHLT2Wo/7xb2n1CwAA//8DAFBLAwQUAAYA&#10;CAAAACEAr+9n6t4AAAAHAQAADwAAAGRycy9kb3ducmV2LnhtbEyPQUvDQBSE74L/YXmCN7tJbEON&#10;eSmlqKci2AribZt9TUKzb0N2m6T/3u3JHocZZr7JV5NpxUC9aywjxLMIBHFpdcMVwvf+/WkJwnnF&#10;WrWWCeFCDlbF/V2uMm1H/qJh5ysRSthlCqH2vsukdGVNRrmZ7YiDd7S9UT7IvpK6V2MoN61MoiiV&#10;RjUcFmrV0aam8rQ7G4SPUY3r5/ht2J6Om8vvfvH5s40J8fFhWr+C8DT5/zBc8QM6FIHpYM+snWgR&#10;kpcQRAh/ruZ8MU9AHBCWaZSCLHJ5y1/8AQAA//8DAFBLAQItABQABgAIAAAAIQC2gziS/gAAAOEB&#10;AAATAAAAAAAAAAAAAAAAAAAAAABbQ29udGVudF9UeXBlc10ueG1sUEsBAi0AFAAGAAgAAAAhADj9&#10;If/WAAAAlAEAAAsAAAAAAAAAAAAAAAAALwEAAF9yZWxzLy5yZWxzUEsBAi0AFAAGAAgAAAAhAAT5&#10;LEmEAgAA3gYAAA4AAAAAAAAAAAAAAAAALgIAAGRycy9lMm9Eb2MueG1sUEsBAi0AFAAGAAgAAAAh&#10;AK/vZ+reAAAABwEAAA8AAAAAAAAAAAAAAAAA3gQAAGRycy9kb3ducmV2LnhtbFBLBQYAAAAABAAE&#10;APMAAADpBQAAAAA=&#10;">
                <v:rect id="Shape 1073741825" o:spid="_x0000_s1027" style="position:absolute;width:92157;height:5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stroke joinstyle="round"/>
                </v:rect>
                <v:rect id="Shape 1073741826" o:spid="_x0000_s1028" style="position:absolute;width:92157;height:5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984D38">
                        <w:pPr>
                          <w:pStyle w:val="Brdtekst"/>
                        </w:pPr>
                      </w:p>
                      <w:p w:rsidR="00984D38" w:rsidRDefault="00F06BBF">
                        <w:pPr>
                          <w:pStyle w:val="Brdtekst"/>
                          <w:jc w:val="center"/>
                          <w:rPr>
                            <w:rStyle w:val="PageNumber"/>
                            <w:rFonts w:ascii="Verdana" w:eastAsia="Verdana" w:hAnsi="Verdana" w:cs="Verdana"/>
                            <w:b/>
                            <w:bCs/>
                            <w:i/>
                            <w:iCs/>
                            <w:sz w:val="32"/>
                            <w:szCs w:val="32"/>
                          </w:rPr>
                        </w:pPr>
                        <w:r>
                          <w:rPr>
                            <w:rStyle w:val="PageNumber"/>
                            <w:rFonts w:ascii="Verdana" w:hAnsi="Verdana"/>
                            <w:b/>
                            <w:bCs/>
                            <w:sz w:val="32"/>
                            <w:szCs w:val="32"/>
                            <w:lang w:val="en-US"/>
                          </w:rPr>
                          <w:t xml:space="preserve">Form for </w:t>
                        </w:r>
                        <w:r>
                          <w:rPr>
                            <w:rStyle w:val="PageNumber"/>
                            <w:rFonts w:ascii="Verdana" w:hAnsi="Verdana"/>
                            <w:b/>
                            <w:bCs/>
                            <w:sz w:val="32"/>
                            <w:szCs w:val="32"/>
                            <w:lang w:val="en-US"/>
                          </w:rPr>
                          <w:t>“</w:t>
                        </w:r>
                        <w:r>
                          <w:rPr>
                            <w:rStyle w:val="PageNumber"/>
                            <w:rFonts w:ascii="Verdana" w:hAnsi="Verdana"/>
                            <w:b/>
                            <w:bCs/>
                            <w:i/>
                            <w:iCs/>
                            <w:sz w:val="32"/>
                            <w:szCs w:val="32"/>
                            <w:lang w:val="en-US"/>
                          </w:rPr>
                          <w:t xml:space="preserve">Statutory report on foundation governance, </w:t>
                        </w:r>
                      </w:p>
                      <w:p w:rsidR="00984D38" w:rsidRDefault="00F06BBF">
                        <w:pPr>
                          <w:pStyle w:val="Brdtekst"/>
                          <w:jc w:val="center"/>
                          <w:rPr>
                            <w:rStyle w:val="PageNumber"/>
                            <w:rFonts w:ascii="Verdana" w:eastAsia="Verdana" w:hAnsi="Verdana" w:cs="Verdana"/>
                            <w:b/>
                            <w:bCs/>
                            <w:sz w:val="32"/>
                            <w:szCs w:val="32"/>
                          </w:rPr>
                        </w:pPr>
                        <w:r>
                          <w:rPr>
                            <w:rStyle w:val="PageNumber"/>
                            <w:rFonts w:ascii="Verdana" w:hAnsi="Verdana"/>
                            <w:b/>
                            <w:bCs/>
                            <w:i/>
                            <w:iCs/>
                            <w:sz w:val="32"/>
                            <w:szCs w:val="32"/>
                            <w:lang w:val="en-US"/>
                          </w:rPr>
                          <w:t>cf. section 77a of the Danish Financial Statements Act</w:t>
                        </w:r>
                        <w:r>
                          <w:rPr>
                            <w:rStyle w:val="PageNumber"/>
                            <w:rFonts w:ascii="Verdana" w:hAnsi="Verdana"/>
                            <w:b/>
                            <w:bCs/>
                            <w:sz w:val="32"/>
                            <w:szCs w:val="32"/>
                            <w:lang w:val="en-US"/>
                          </w:rPr>
                          <w:t>”</w:t>
                        </w:r>
                        <w:r>
                          <w:rPr>
                            <w:rStyle w:val="PageNumber"/>
                            <w:rFonts w:ascii="Verdana" w:hAnsi="Verdana"/>
                            <w:b/>
                            <w:bCs/>
                            <w:sz w:val="32"/>
                            <w:szCs w:val="32"/>
                            <w:lang w:val="en-US"/>
                          </w:rPr>
                          <w:t>.</w:t>
                        </w:r>
                      </w:p>
                      <w:p w:rsidR="00984D38" w:rsidRDefault="00984D38">
                        <w:pPr>
                          <w:pStyle w:val="Brdtekst"/>
                          <w:jc w:val="center"/>
                          <w:rPr>
                            <w:rFonts w:ascii="Verdana" w:eastAsia="Verdana" w:hAnsi="Verdana" w:cs="Verdana"/>
                            <w:b/>
                            <w:bCs/>
                            <w:sz w:val="32"/>
                            <w:szCs w:val="32"/>
                          </w:rPr>
                        </w:pPr>
                      </w:p>
                      <w:p w:rsidR="00984D38" w:rsidRDefault="00984D38">
                        <w:pPr>
                          <w:pStyle w:val="Brdtekst"/>
                          <w:jc w:val="center"/>
                          <w:rPr>
                            <w:rFonts w:ascii="Verdana" w:eastAsia="Verdana" w:hAnsi="Verdana" w:cs="Verdana"/>
                            <w:b/>
                            <w:bCs/>
                            <w:sz w:val="32"/>
                            <w:szCs w:val="32"/>
                          </w:rPr>
                        </w:pPr>
                      </w:p>
                      <w:p w:rsidR="00984D38" w:rsidRDefault="00F06BBF">
                        <w:pPr>
                          <w:pStyle w:val="Brdtekst"/>
                          <w:jc w:val="center"/>
                        </w:pPr>
                        <w:r>
                          <w:rPr>
                            <w:rStyle w:val="PageNumber"/>
                            <w:rFonts w:ascii="Verdana" w:hAnsi="Verdana"/>
                            <w:b/>
                            <w:bCs/>
                            <w:i/>
                            <w:iCs/>
                            <w:sz w:val="44"/>
                            <w:szCs w:val="44"/>
                            <w:lang w:val="da-DK"/>
                          </w:rPr>
                          <w:t>THE WHY Foundation</w:t>
                        </w:r>
                      </w:p>
                    </w:txbxContent>
                  </v:textbox>
                </v:rect>
                <w10:wrap anchory="line"/>
              </v:group>
            </w:pict>
          </mc:Fallback>
        </mc:AlternateContent>
      </w: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984D38">
      <w:pPr>
        <w:pStyle w:val="Brdtekst"/>
        <w:rPr>
          <w:rFonts w:asciiTheme="majorHAnsi" w:eastAsia="Verdana" w:hAnsiTheme="majorHAnsi" w:cstheme="majorHAnsi"/>
          <w:b/>
          <w:bCs/>
          <w:sz w:val="20"/>
          <w:szCs w:val="20"/>
        </w:rPr>
      </w:pPr>
    </w:p>
    <w:p w:rsidR="00984D38" w:rsidRPr="00C7174D" w:rsidRDefault="00F06BBF">
      <w:pPr>
        <w:pStyle w:val="Brdtekst"/>
        <w:jc w:val="both"/>
        <w:rPr>
          <w:rStyle w:val="PageNumber"/>
          <w:rFonts w:asciiTheme="majorHAnsi" w:eastAsia="Verdana" w:hAnsiTheme="majorHAnsi" w:cstheme="majorHAnsi"/>
          <w:b/>
          <w:bCs/>
          <w:sz w:val="20"/>
          <w:szCs w:val="20"/>
        </w:rPr>
      </w:pPr>
      <w:r w:rsidRPr="00C7174D">
        <w:rPr>
          <w:rStyle w:val="PageNumber"/>
          <w:rFonts w:asciiTheme="majorHAnsi" w:hAnsiTheme="majorHAnsi" w:cstheme="majorHAnsi"/>
          <w:b/>
          <w:bCs/>
          <w:sz w:val="20"/>
          <w:szCs w:val="20"/>
          <w:lang w:val="en-US"/>
        </w:rPr>
        <w:t>What should this form be used for?</w:t>
      </w:r>
    </w:p>
    <w:p w:rsidR="00984D38" w:rsidRPr="00C7174D" w:rsidRDefault="00984D38">
      <w:pPr>
        <w:pStyle w:val="Brdtekst"/>
        <w:jc w:val="both"/>
        <w:rPr>
          <w:rFonts w:asciiTheme="majorHAnsi" w:eastAsia="Verdana" w:hAnsiTheme="majorHAnsi" w:cstheme="majorHAnsi"/>
          <w:b/>
          <w:bCs/>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 xml:space="preserve">This form is </w:t>
      </w:r>
      <w:r w:rsidR="003D0724" w:rsidRPr="00C7174D">
        <w:rPr>
          <w:rStyle w:val="PageNumber"/>
          <w:rFonts w:asciiTheme="majorHAnsi" w:hAnsiTheme="majorHAnsi" w:cstheme="majorHAnsi"/>
          <w:sz w:val="20"/>
          <w:szCs w:val="20"/>
          <w:lang w:val="en-US"/>
        </w:rPr>
        <w:t>a standard reporting format set out within</w:t>
      </w:r>
      <w:r w:rsidRPr="00C7174D">
        <w:rPr>
          <w:rStyle w:val="PageNumber"/>
          <w:rFonts w:asciiTheme="majorHAnsi" w:hAnsiTheme="majorHAnsi" w:cstheme="majorHAnsi"/>
          <w:sz w:val="20"/>
          <w:szCs w:val="20"/>
          <w:lang w:val="en-US"/>
        </w:rPr>
        <w:t xml:space="preserve"> the </w:t>
      </w:r>
      <w:r w:rsidR="003D0724" w:rsidRPr="00C7174D">
        <w:rPr>
          <w:rStyle w:val="PageNumber"/>
          <w:rFonts w:asciiTheme="majorHAnsi" w:hAnsiTheme="majorHAnsi" w:cstheme="majorHAnsi"/>
          <w:sz w:val="20"/>
          <w:szCs w:val="20"/>
          <w:lang w:val="en-US"/>
        </w:rPr>
        <w:t>r</w:t>
      </w:r>
      <w:r w:rsidRPr="00C7174D">
        <w:rPr>
          <w:rStyle w:val="PageNumber"/>
          <w:rFonts w:asciiTheme="majorHAnsi" w:hAnsiTheme="majorHAnsi" w:cstheme="majorHAnsi"/>
          <w:sz w:val="20"/>
          <w:szCs w:val="20"/>
          <w:lang w:val="en-US"/>
        </w:rPr>
        <w:t xml:space="preserve">ecommendations on foundation governance in a standard reporting format, cf. section 77a of the Financial Statements Act.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lastRenderedPageBreak/>
        <w:t xml:space="preserve">The report on foundation governance </w:t>
      </w:r>
      <w:r w:rsidR="003D0724" w:rsidRPr="00C7174D">
        <w:rPr>
          <w:rStyle w:val="PageNumber"/>
          <w:rFonts w:asciiTheme="majorHAnsi" w:hAnsiTheme="majorHAnsi" w:cstheme="majorHAnsi"/>
          <w:sz w:val="20"/>
          <w:szCs w:val="20"/>
          <w:lang w:val="en-US"/>
        </w:rPr>
        <w:t>is</w:t>
      </w:r>
      <w:r w:rsidRPr="00C7174D">
        <w:rPr>
          <w:rStyle w:val="PageNumber"/>
          <w:rFonts w:asciiTheme="majorHAnsi" w:hAnsiTheme="majorHAnsi" w:cstheme="majorHAnsi"/>
          <w:sz w:val="20"/>
          <w:szCs w:val="20"/>
          <w:lang w:val="en-US"/>
        </w:rPr>
        <w:t xml:space="preserve"> published in the management commentary, in the notes to the annual report, </w:t>
      </w:r>
      <w:r w:rsidR="003D0724" w:rsidRPr="00C7174D">
        <w:rPr>
          <w:rStyle w:val="PageNumber"/>
          <w:rFonts w:asciiTheme="majorHAnsi" w:hAnsiTheme="majorHAnsi" w:cstheme="majorHAnsi"/>
          <w:sz w:val="20"/>
          <w:szCs w:val="20"/>
          <w:lang w:val="en-US"/>
        </w:rPr>
        <w:t>and</w:t>
      </w:r>
      <w:r w:rsidRPr="00C7174D">
        <w:rPr>
          <w:rStyle w:val="PageNumber"/>
          <w:rFonts w:asciiTheme="majorHAnsi" w:hAnsiTheme="majorHAnsi" w:cstheme="majorHAnsi"/>
          <w:sz w:val="20"/>
          <w:szCs w:val="20"/>
          <w:lang w:val="en-US"/>
        </w:rPr>
        <w:t xml:space="preserve"> on the foundation’s website with a reference to the website in the management commentary or in the notes.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 xml:space="preserve">Publication of the report on foundation governance on the foundation’s website with a precise reference in the management commentary establishes the highest level of transparency and </w:t>
      </w:r>
      <w:r w:rsidR="003D0724" w:rsidRPr="00C7174D">
        <w:rPr>
          <w:rStyle w:val="PageNumber"/>
          <w:rFonts w:asciiTheme="majorHAnsi" w:hAnsiTheme="majorHAnsi" w:cstheme="majorHAnsi"/>
          <w:sz w:val="20"/>
          <w:szCs w:val="20"/>
          <w:lang w:val="en-US"/>
        </w:rPr>
        <w:t>enables</w:t>
      </w:r>
      <w:r w:rsidRPr="00C7174D">
        <w:rPr>
          <w:rStyle w:val="PageNumber"/>
          <w:rFonts w:asciiTheme="majorHAnsi" w:hAnsiTheme="majorHAnsi" w:cstheme="majorHAnsi"/>
          <w:sz w:val="20"/>
          <w:szCs w:val="20"/>
          <w:lang w:val="en-US"/>
        </w:rPr>
        <w:t xml:space="preserve"> access for the public.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 xml:space="preserve">Publication on the foundation’s website requires that the URL address on which the report on foundation governance is published is stated in the management commentary or in the notes. The URL address must be the internet address which can be used to access the report </w:t>
      </w:r>
      <w:r w:rsidRPr="00C7174D">
        <w:rPr>
          <w:rStyle w:val="PageNumber"/>
          <w:rFonts w:asciiTheme="majorHAnsi" w:hAnsiTheme="majorHAnsi" w:cstheme="majorHAnsi"/>
          <w:b/>
          <w:bCs/>
          <w:sz w:val="20"/>
          <w:szCs w:val="20"/>
          <w:lang w:val="en-US"/>
        </w:rPr>
        <w:t>directly</w:t>
      </w:r>
      <w:r w:rsidRPr="00C7174D">
        <w:rPr>
          <w:rStyle w:val="PageNumber"/>
          <w:rFonts w:asciiTheme="majorHAnsi" w:hAnsiTheme="majorHAnsi" w:cstheme="majorHAnsi"/>
          <w:sz w:val="20"/>
          <w:szCs w:val="20"/>
          <w:lang w:val="en-US"/>
        </w:rPr>
        <w:t>.</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F06BBF">
      <w:pPr>
        <w:pStyle w:val="Brdtekst"/>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b/>
          <w:bCs/>
          <w:sz w:val="20"/>
          <w:szCs w:val="20"/>
          <w:lang w:val="en-US"/>
        </w:rPr>
        <w:t>Note:</w:t>
      </w:r>
      <w:r w:rsidRPr="00C7174D">
        <w:rPr>
          <w:rStyle w:val="PageNumber"/>
          <w:rFonts w:asciiTheme="majorHAnsi" w:hAnsiTheme="majorHAnsi" w:cstheme="majorHAnsi"/>
          <w:sz w:val="20"/>
          <w:szCs w:val="20"/>
          <w:lang w:val="en-US"/>
        </w:rPr>
        <w:t xml:space="preserve"> The form below contains the Recommendations of the Committee on Foundation Governance of December 2014. These Recommendations are available from the Committee’s website: www.godfondsledelse.dk. </w:t>
      </w:r>
      <w:r w:rsidRPr="00C7174D">
        <w:rPr>
          <w:rStyle w:val="PageNumber"/>
          <w:rFonts w:asciiTheme="majorHAnsi" w:hAnsiTheme="majorHAnsi" w:cstheme="majorHAnsi"/>
          <w:b/>
          <w:bCs/>
          <w:sz w:val="20"/>
          <w:szCs w:val="20"/>
          <w:lang w:val="en-US"/>
        </w:rPr>
        <w:t>The form can be used to prepare report on foundation governance in the annual report.</w:t>
      </w: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F06BBF">
      <w:pPr>
        <w:pStyle w:val="Brdtekst"/>
        <w:rPr>
          <w:rStyle w:val="PageNumber"/>
          <w:rFonts w:asciiTheme="majorHAnsi" w:eastAsia="Verdana" w:hAnsiTheme="majorHAnsi" w:cstheme="majorHAnsi"/>
          <w:sz w:val="20"/>
          <w:szCs w:val="20"/>
        </w:rPr>
      </w:pPr>
      <w:r w:rsidRPr="00C7174D">
        <w:rPr>
          <w:rStyle w:val="PageNumber"/>
          <w:rFonts w:asciiTheme="majorHAnsi" w:eastAsia="Verdana" w:hAnsiTheme="majorHAnsi" w:cstheme="majorHAnsi"/>
          <w:noProof/>
          <w:sz w:val="20"/>
          <w:szCs w:val="20"/>
        </w:rPr>
        <mc:AlternateContent>
          <mc:Choice Requires="wpg">
            <w:drawing>
              <wp:anchor distT="0" distB="0" distL="0" distR="0" simplePos="0" relativeHeight="251659264" behindDoc="0" locked="0" layoutInCell="1" allowOverlap="1">
                <wp:simplePos x="0" y="0"/>
                <wp:positionH relativeFrom="column">
                  <wp:posOffset>3810</wp:posOffset>
                </wp:positionH>
                <wp:positionV relativeFrom="line">
                  <wp:posOffset>70803</wp:posOffset>
                </wp:positionV>
                <wp:extent cx="9313546" cy="3629025"/>
                <wp:effectExtent l="0" t="0" r="20955" b="28575"/>
                <wp:wrapNone/>
                <wp:docPr id="1073741830" name="officeArt object"/>
                <wp:cNvGraphicFramePr/>
                <a:graphic xmlns:a="http://schemas.openxmlformats.org/drawingml/2006/main">
                  <a:graphicData uri="http://schemas.microsoft.com/office/word/2010/wordprocessingGroup">
                    <wpg:wgp>
                      <wpg:cNvGrpSpPr/>
                      <wpg:grpSpPr>
                        <a:xfrm>
                          <a:off x="0" y="0"/>
                          <a:ext cx="9313546" cy="3629025"/>
                          <a:chOff x="0" y="0"/>
                          <a:chExt cx="9313545" cy="3861435"/>
                        </a:xfrm>
                      </wpg:grpSpPr>
                      <wps:wsp>
                        <wps:cNvPr id="1073741828" name="Shape 1073741828"/>
                        <wps:cNvSpPr/>
                        <wps:spPr>
                          <a:xfrm>
                            <a:off x="0" y="0"/>
                            <a:ext cx="9313545" cy="3861435"/>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9313545" cy="2943224"/>
                          </a:xfrm>
                          <a:prstGeom prst="rect">
                            <a:avLst/>
                          </a:prstGeom>
                          <a:noFill/>
                          <a:ln w="12700" cap="flat">
                            <a:noFill/>
                            <a:miter lim="400000"/>
                          </a:ln>
                          <a:effectLst/>
                        </wps:spPr>
                        <wps:txbx>
                          <w:txbxContent>
                            <w:p w:rsidR="00984D38" w:rsidRPr="00C7174D" w:rsidRDefault="00984D38">
                              <w:pPr>
                                <w:pStyle w:val="Brdtekst"/>
                                <w:spacing w:line="276" w:lineRule="auto"/>
                                <w:rPr>
                                  <w:rFonts w:asciiTheme="majorHAnsi" w:eastAsia="Verdana" w:hAnsiTheme="majorHAnsi" w:cstheme="majorHAnsi"/>
                                  <w:b/>
                                  <w:bCs/>
                                  <w:sz w:val="20"/>
                                  <w:szCs w:val="20"/>
                                </w:rPr>
                              </w:pPr>
                            </w:p>
                            <w:p w:rsidR="00984D38" w:rsidRPr="00C7174D" w:rsidRDefault="00F06BBF">
                              <w:pPr>
                                <w:pStyle w:val="Brdtekst"/>
                                <w:spacing w:line="276" w:lineRule="auto"/>
                                <w:rPr>
                                  <w:rStyle w:val="PageNumber"/>
                                  <w:rFonts w:asciiTheme="majorHAnsi" w:eastAsia="Verdana" w:hAnsiTheme="majorHAnsi" w:cstheme="majorHAnsi"/>
                                  <w:sz w:val="20"/>
                                  <w:szCs w:val="20"/>
                                </w:rPr>
                              </w:pPr>
                              <w:r w:rsidRPr="00C7174D">
                                <w:rPr>
                                  <w:rStyle w:val="PageNumber"/>
                                  <w:rFonts w:asciiTheme="majorHAnsi" w:hAnsiTheme="majorHAnsi" w:cstheme="majorHAnsi"/>
                                  <w:b/>
                                  <w:bCs/>
                                  <w:sz w:val="20"/>
                                  <w:szCs w:val="20"/>
                                  <w:lang w:val="en-US"/>
                                </w:rPr>
                                <w:t>“Comply or explain”</w:t>
                              </w:r>
                            </w:p>
                            <w:p w:rsidR="00984D38" w:rsidRPr="00C7174D" w:rsidRDefault="00984D38">
                              <w:pPr>
                                <w:pStyle w:val="Brdtekst"/>
                                <w:spacing w:line="276" w:lineRule="auto"/>
                                <w:rPr>
                                  <w:rFonts w:asciiTheme="majorHAnsi" w:eastAsia="Verdana" w:hAnsiTheme="majorHAnsi" w:cstheme="majorHAnsi"/>
                                  <w:sz w:val="20"/>
                                  <w:szCs w:val="20"/>
                                  <w:lang w:val="en-US"/>
                                </w:rPr>
                              </w:pP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Section 77a of the Financial Statements Act, which is covered by the Commercial Foundations Act (</w:t>
                              </w:r>
                              <w:proofErr w:type="spellStart"/>
                              <w:r w:rsidRPr="00C7174D">
                                <w:rPr>
                                  <w:rStyle w:val="PageNumber"/>
                                  <w:rFonts w:asciiTheme="majorHAnsi" w:hAnsiTheme="majorHAnsi" w:cstheme="majorHAnsi"/>
                                  <w:i/>
                                  <w:iCs/>
                                  <w:sz w:val="20"/>
                                  <w:szCs w:val="20"/>
                                  <w:lang w:val="en-US"/>
                                </w:rPr>
                                <w:t>Lov</w:t>
                              </w:r>
                              <w:proofErr w:type="spellEnd"/>
                              <w:r w:rsidRPr="00C7174D">
                                <w:rPr>
                                  <w:rStyle w:val="PageNumber"/>
                                  <w:rFonts w:asciiTheme="majorHAnsi" w:hAnsiTheme="majorHAnsi" w:cstheme="majorHAnsi"/>
                                  <w:i/>
                                  <w:iCs/>
                                  <w:sz w:val="20"/>
                                  <w:szCs w:val="20"/>
                                  <w:lang w:val="en-US"/>
                                </w:rPr>
                                <w:t xml:space="preserve"> om </w:t>
                              </w:r>
                              <w:proofErr w:type="spellStart"/>
                              <w:r w:rsidRPr="00C7174D">
                                <w:rPr>
                                  <w:rStyle w:val="PageNumber"/>
                                  <w:rFonts w:asciiTheme="majorHAnsi" w:hAnsiTheme="majorHAnsi" w:cstheme="majorHAnsi"/>
                                  <w:i/>
                                  <w:iCs/>
                                  <w:sz w:val="20"/>
                                  <w:szCs w:val="20"/>
                                  <w:lang w:val="en-US"/>
                                </w:rPr>
                                <w:t>erhvervsdrivende</w:t>
                              </w:r>
                              <w:proofErr w:type="spellEnd"/>
                              <w:r w:rsidRPr="00C7174D">
                                <w:rPr>
                                  <w:rStyle w:val="PageNumber"/>
                                  <w:rFonts w:asciiTheme="majorHAnsi" w:hAnsiTheme="majorHAnsi" w:cstheme="majorHAnsi"/>
                                  <w:i/>
                                  <w:iCs/>
                                  <w:sz w:val="20"/>
                                  <w:szCs w:val="20"/>
                                  <w:lang w:val="en-US"/>
                                </w:rPr>
                                <w:t xml:space="preserve"> </w:t>
                              </w:r>
                              <w:proofErr w:type="spellStart"/>
                              <w:r w:rsidRPr="00C7174D">
                                <w:rPr>
                                  <w:rStyle w:val="PageNumber"/>
                                  <w:rFonts w:asciiTheme="majorHAnsi" w:hAnsiTheme="majorHAnsi" w:cstheme="majorHAnsi"/>
                                  <w:i/>
                                  <w:iCs/>
                                  <w:sz w:val="20"/>
                                  <w:szCs w:val="20"/>
                                  <w:lang w:val="en-US"/>
                                </w:rPr>
                                <w:t>fonde</w:t>
                              </w:r>
                              <w:proofErr w:type="spellEnd"/>
                              <w:r w:rsidRPr="00C7174D">
                                <w:rPr>
                                  <w:rStyle w:val="PageNumber"/>
                                  <w:rFonts w:asciiTheme="majorHAnsi" w:hAnsiTheme="majorHAnsi" w:cstheme="majorHAnsi"/>
                                  <w:sz w:val="20"/>
                                  <w:szCs w:val="20"/>
                                  <w:lang w:val="en-US"/>
                                </w:rPr>
                                <w:t xml:space="preserve">) states that foundations must include a report by the board of directors on foundation governance, cf. section 60 of the Commercial Foundations Act, in the management commentary or in the notes.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 xml:space="preserve">According to section 60 of the Commercial Foundations Act the report contains information on how the commercial foundation has addressed the Recommendations. The board of directors can choose to comply with the Recommendations or explain what they have chosen to do instead.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i/>
                                  <w:iCs/>
                                  <w:sz w:val="20"/>
                                  <w:szCs w:val="20"/>
                                </w:rPr>
                              </w:pPr>
                              <w:r w:rsidRPr="00C7174D">
                                <w:rPr>
                                  <w:rStyle w:val="PageNumber"/>
                                  <w:rFonts w:asciiTheme="majorHAnsi" w:hAnsiTheme="majorHAnsi" w:cstheme="majorHAnsi"/>
                                  <w:i/>
                                  <w:iCs/>
                                  <w:sz w:val="20"/>
                                  <w:szCs w:val="20"/>
                                  <w:lang w:val="en-US"/>
                                </w:rPr>
                                <w:t xml:space="preserve">Failure to comply with a Recommendation is </w:t>
                              </w:r>
                              <w:r w:rsidRPr="00C7174D">
                                <w:rPr>
                                  <w:rStyle w:val="PageNumber"/>
                                  <w:rFonts w:asciiTheme="majorHAnsi" w:hAnsiTheme="majorHAnsi" w:cstheme="majorHAnsi"/>
                                  <w:b/>
                                  <w:bCs/>
                                  <w:i/>
                                  <w:iCs/>
                                  <w:sz w:val="20"/>
                                  <w:szCs w:val="20"/>
                                  <w:lang w:val="en-US"/>
                                </w:rPr>
                                <w:t xml:space="preserve">not </w:t>
                              </w:r>
                              <w:r w:rsidRPr="00C7174D">
                                <w:rPr>
                                  <w:rStyle w:val="PageNumber"/>
                                  <w:rFonts w:asciiTheme="majorHAnsi" w:hAnsiTheme="majorHAnsi" w:cstheme="majorHAnsi"/>
                                  <w:i/>
                                  <w:iCs/>
                                  <w:sz w:val="20"/>
                                  <w:szCs w:val="20"/>
                                  <w:lang w:val="en-US"/>
                                </w:rPr>
                                <w:t xml:space="preserve">considered as a breach of rules but merely implies that the board of directors has chosen a different approach.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Fonts w:asciiTheme="majorHAnsi" w:hAnsiTheme="majorHAnsi" w:cstheme="majorHAnsi"/>
                                  <w:sz w:val="20"/>
                                  <w:szCs w:val="20"/>
                                </w:rPr>
                              </w:pPr>
                              <w:r w:rsidRPr="00C7174D">
                                <w:rPr>
                                  <w:rStyle w:val="PageNumber"/>
                                  <w:rFonts w:asciiTheme="majorHAnsi" w:hAnsiTheme="majorHAnsi" w:cstheme="majorHAnsi"/>
                                  <w:sz w:val="20"/>
                                  <w:szCs w:val="20"/>
                                  <w:lang w:val="en-US"/>
                                </w:rPr>
                                <w:t xml:space="preserve">Reporting must reflect the current type of management at the date of the annual report. In the event of significant changes during the year, or after the balance sheet date, this should be described in the report on foundation governance. It is important that board of directors consider the individual Recommendations. </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_x0000_s1029" style="position:absolute;margin-left:.3pt;margin-top:5.6pt;width:733.35pt;height:285.75pt;z-index:251659264;mso-wrap-distance-left:0;mso-wrap-distance-right:0;mso-position-vertical-relative:line;mso-height-relative:margin" coordsize="93135,3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38lgIAAOMGAAAOAAAAZHJzL2Uyb0RvYy54bWy8Vdtu2zAMfR+wfxD0vvqam1GnKJq1GDBs&#10;Bbp9gCLLl0GWNEmJ078fJSWpk+7aDfODYsoiRZ5zyFxe7XqOtkybTooSJxcxRkxQWXWiKfHnT7dv&#10;5hgZS0RFuBSsxI/M4Kvl61eXgypYKlvJK6YRBBGmGFSJW2tVEUWGtqwn5kIqJuBjLXVPLJi6iSpN&#10;Boje8yiN42k0SF0pLSkzBnZX4SNe+vh1zaj9WNeGWcRLDLlZv2q/rt0aLS9J0Wii2o7u0yAvyKIn&#10;nYBLj6FWxBK00d2zUH1HtTSythdU9pGs644yXwNUk8Rn1dxpuVG+lqYYGnWECaA9w+nFYemH7b1G&#10;XQXcxbNslifzDGASpAeuQnbX2iK5/gJIOrAG1RTgc6fVg7rX+40mWK7+Xa179wu+aOdhfjzCzHYW&#10;UdhcZEk2yacYUfiWTdNFnE4CEbQFtp750fbtiedk7zmfJnnmPaPDxZHL75jOoEBU5gk383e4PbRE&#10;MU+HcRic4ZaC0gNu/hw64An7HibvcwTNFAbw+zPEflI3KZQ29o7JHrmXEmvHlwtPtu+NhQQAosMR&#10;t20k76rbjnNv6GZ9wzXaEuiSW/+4nMHl5BgXaAD2JsAWogSateYkXHJyzIyjxf75XjSXzYqYNtzq&#10;IwQRgOhFFa7nwqXHfB/vy3CcBujc21pWj16GQLzn2in0f5K++AHpi39MerrIszTN90AeuuzA6G+S&#10;LqRjHKAlReAySWcxtPspmaNTfWdhOvOuL3E+JvKXvNjdehemygGHwBQaYNSW2HzdEM0w4u8E9GQ+&#10;mSWAox0bemysx4bY9DcSdJpgRARtJQzzIEIhrzdW1p1X+5M4QMdHbfjxAJPUa3s/9d2oHtv+/NN/&#10;0/IbAAAA//8DAFBLAwQUAAYACAAAACEAsBhfEd8AAAAIAQAADwAAAGRycy9kb3ducmV2LnhtbEyP&#10;QUvDQBCF74L/YRnBm90ktWmJ2ZRS1FMRbAXxNs1Ok9DsbMhuk/Tfuz3p8c17vPdNvp5MKwbqXWNZ&#10;QTyLQBCXVjdcKfg6vD2tQDiPrLG1TAqu5GBd3N/lmGk78icNe1+JUMIuQwW1910mpStrMuhmtiMO&#10;3sn2Bn2QfSV1j2MoN61MoiiVBhsOCzV2tK2pPO8vRsH7iONmHr8Ou/Npe/05LD6+dzEp9fgwbV5A&#10;eJr8Xxhu+AEdisB0tBfWTrQK0pAL1zgBcXOf0+UcxFHBYpUsQRa5/P9A8QsAAP//AwBQSwECLQAU&#10;AAYACAAAACEAtoM4kv4AAADhAQAAEwAAAAAAAAAAAAAAAAAAAAAAW0NvbnRlbnRfVHlwZXNdLnht&#10;bFBLAQItABQABgAIAAAAIQA4/SH/1gAAAJQBAAALAAAAAAAAAAAAAAAAAC8BAABfcmVscy8ucmVs&#10;c1BLAQItABQABgAIAAAAIQCMsd38lgIAAOMGAAAOAAAAAAAAAAAAAAAAAC4CAABkcnMvZTJvRG9j&#10;LnhtbFBLAQItABQABgAIAAAAIQCwGF8R3wAAAAgBAAAPAAAAAAAAAAAAAAAAAPAEAABkcnMvZG93&#10;bnJldi54bWxQSwUGAAAAAAQABADzAAAA/AUAAAAA&#10;">
                <v:rect id="Shape 1073741828" o:spid="_x0000_s1030" style="position:absolute;width:93135;height:38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1AywAAAOMAAAAPAAAAZHJzL2Rvd25yZXYueG1sRI9BT8JA&#10;EIXvJvyHzZB4k12KEawshGAweoRy8TZ2x7banW26C1R/vXMg8Tjz3rz3zXI9+FadqY9NYAvTiQFF&#10;XAbXcGXhWOzuFqBiQnbYBiYLPxRhvRrdLDF34cJ7Oh9SpSSEY44W6pS6XOtY1uQxTkJHLNpn6D0m&#10;GftKux4vEu5bnRnzoD02LA01drStqfw+nLyFjyY74u++eDH+cTdLb0PxdXp/tvZ2PGyeQCUa0r/5&#10;ev3qBN/MZ/P76SITaPlJFqBXfwAAAP//AwBQSwECLQAUAAYACAAAACEA2+H2y+4AAACFAQAAEwAA&#10;AAAAAAAAAAAAAAAAAAAAW0NvbnRlbnRfVHlwZXNdLnhtbFBLAQItABQABgAIAAAAIQBa9CxbvwAA&#10;ABUBAAALAAAAAAAAAAAAAAAAAB8BAABfcmVscy8ucmVsc1BLAQItABQABgAIAAAAIQBqor1AywAA&#10;AOMAAAAPAAAAAAAAAAAAAAAAAAcCAABkcnMvZG93bnJldi54bWxQSwUGAAAAAAMAAwC3AAAA/wIA&#10;AAAA&#10;">
                  <v:stroke joinstyle="round"/>
                </v:rect>
                <v:rect id="Shape 1073741829" o:spid="_x0000_s1031" style="position:absolute;width:93135;height:29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r6xwAAAOMAAAAPAAAAZHJzL2Rvd25yZXYueG1sRE9fS8Mw&#10;EH8X9h3CDXxzSdvp1rpsjOFE2JPTD3A0Z1NtLqVJt/rtjSD4eL//t9lNrhMXGkLrWUO2UCCIa29a&#10;bjS8vx3v1iBCRDbYeSYN3xRgt53dbLAy/sqvdDnHRqQQDhVqsDH2lZShtuQwLHxPnLgPPziM6Rwa&#10;aQa8pnDXyVypB+mw5dRgsaeDpfrrPDoNMjsVXenGMp/s+FQs1f3n8bnX+nY+7R9BRJriv/jP/WLS&#10;fLUqVstsnZfw+1MCQG5/AAAA//8DAFBLAQItABQABgAIAAAAIQDb4fbL7gAAAIUBAAATAAAAAAAA&#10;AAAAAAAAAAAAAABbQ29udGVudF9UeXBlc10ueG1sUEsBAi0AFAAGAAgAAAAhAFr0LFu/AAAAFQEA&#10;AAsAAAAAAAAAAAAAAAAAHwEAAF9yZWxzLy5yZWxzUEsBAi0AFAAGAAgAAAAhACaoKvrHAAAA4wAA&#10;AA8AAAAAAAAAAAAAAAAABwIAAGRycy9kb3ducmV2LnhtbFBLBQYAAAAAAwADALcAAAD7AgAAAAA=&#10;" filled="f" stroked="f" strokeweight="1pt">
                  <v:stroke miterlimit="4"/>
                  <v:textbox inset="1.27mm,1.27mm,1.27mm,1.27mm">
                    <w:txbxContent>
                      <w:p w:rsidR="00984D38" w:rsidRPr="00C7174D" w:rsidRDefault="00984D38">
                        <w:pPr>
                          <w:pStyle w:val="Brdtekst"/>
                          <w:spacing w:line="276" w:lineRule="auto"/>
                          <w:rPr>
                            <w:rFonts w:asciiTheme="majorHAnsi" w:eastAsia="Verdana" w:hAnsiTheme="majorHAnsi" w:cstheme="majorHAnsi"/>
                            <w:b/>
                            <w:bCs/>
                            <w:sz w:val="20"/>
                            <w:szCs w:val="20"/>
                          </w:rPr>
                        </w:pPr>
                      </w:p>
                      <w:p w:rsidR="00984D38" w:rsidRPr="00C7174D" w:rsidRDefault="00F06BBF">
                        <w:pPr>
                          <w:pStyle w:val="Brdtekst"/>
                          <w:spacing w:line="276" w:lineRule="auto"/>
                          <w:rPr>
                            <w:rStyle w:val="PageNumber"/>
                            <w:rFonts w:asciiTheme="majorHAnsi" w:eastAsia="Verdana" w:hAnsiTheme="majorHAnsi" w:cstheme="majorHAnsi"/>
                            <w:sz w:val="20"/>
                            <w:szCs w:val="20"/>
                          </w:rPr>
                        </w:pPr>
                        <w:r w:rsidRPr="00C7174D">
                          <w:rPr>
                            <w:rStyle w:val="PageNumber"/>
                            <w:rFonts w:asciiTheme="majorHAnsi" w:hAnsiTheme="majorHAnsi" w:cstheme="majorHAnsi"/>
                            <w:b/>
                            <w:bCs/>
                            <w:sz w:val="20"/>
                            <w:szCs w:val="20"/>
                            <w:lang w:val="en-US"/>
                          </w:rPr>
                          <w:t>“</w:t>
                        </w:r>
                        <w:r w:rsidRPr="00C7174D">
                          <w:rPr>
                            <w:rStyle w:val="PageNumber"/>
                            <w:rFonts w:asciiTheme="majorHAnsi" w:hAnsiTheme="majorHAnsi" w:cstheme="majorHAnsi"/>
                            <w:b/>
                            <w:bCs/>
                            <w:sz w:val="20"/>
                            <w:szCs w:val="20"/>
                            <w:lang w:val="en-US"/>
                          </w:rPr>
                          <w:t>Comply or explain</w:t>
                        </w:r>
                        <w:r w:rsidRPr="00C7174D">
                          <w:rPr>
                            <w:rStyle w:val="PageNumber"/>
                            <w:rFonts w:asciiTheme="majorHAnsi" w:hAnsiTheme="majorHAnsi" w:cstheme="majorHAnsi"/>
                            <w:b/>
                            <w:bCs/>
                            <w:sz w:val="20"/>
                            <w:szCs w:val="20"/>
                            <w:lang w:val="en-US"/>
                          </w:rPr>
                          <w:t>”</w:t>
                        </w:r>
                      </w:p>
                      <w:p w:rsidR="00984D38" w:rsidRPr="00C7174D" w:rsidRDefault="00984D38">
                        <w:pPr>
                          <w:pStyle w:val="Brdtekst"/>
                          <w:spacing w:line="276" w:lineRule="auto"/>
                          <w:rPr>
                            <w:rFonts w:asciiTheme="majorHAnsi" w:eastAsia="Verdana" w:hAnsiTheme="majorHAnsi" w:cstheme="majorHAnsi"/>
                            <w:sz w:val="20"/>
                            <w:szCs w:val="20"/>
                            <w:lang w:val="en-US"/>
                          </w:rPr>
                        </w:pP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Section 77a of the Financial Statements Act, which is covered by the Commercial Foundations Act (</w:t>
                        </w:r>
                        <w:proofErr w:type="spellStart"/>
                        <w:r w:rsidRPr="00C7174D">
                          <w:rPr>
                            <w:rStyle w:val="PageNumber"/>
                            <w:rFonts w:asciiTheme="majorHAnsi" w:hAnsiTheme="majorHAnsi" w:cstheme="majorHAnsi"/>
                            <w:i/>
                            <w:iCs/>
                            <w:sz w:val="20"/>
                            <w:szCs w:val="20"/>
                            <w:lang w:val="en-US"/>
                          </w:rPr>
                          <w:t>Lov</w:t>
                        </w:r>
                        <w:proofErr w:type="spellEnd"/>
                        <w:r w:rsidRPr="00C7174D">
                          <w:rPr>
                            <w:rStyle w:val="PageNumber"/>
                            <w:rFonts w:asciiTheme="majorHAnsi" w:hAnsiTheme="majorHAnsi" w:cstheme="majorHAnsi"/>
                            <w:i/>
                            <w:iCs/>
                            <w:sz w:val="20"/>
                            <w:szCs w:val="20"/>
                            <w:lang w:val="en-US"/>
                          </w:rPr>
                          <w:t xml:space="preserve"> om </w:t>
                        </w:r>
                        <w:proofErr w:type="spellStart"/>
                        <w:r w:rsidRPr="00C7174D">
                          <w:rPr>
                            <w:rStyle w:val="PageNumber"/>
                            <w:rFonts w:asciiTheme="majorHAnsi" w:hAnsiTheme="majorHAnsi" w:cstheme="majorHAnsi"/>
                            <w:i/>
                            <w:iCs/>
                            <w:sz w:val="20"/>
                            <w:szCs w:val="20"/>
                            <w:lang w:val="en-US"/>
                          </w:rPr>
                          <w:t>erhvervsdrivende</w:t>
                        </w:r>
                        <w:proofErr w:type="spellEnd"/>
                        <w:r w:rsidRPr="00C7174D">
                          <w:rPr>
                            <w:rStyle w:val="PageNumber"/>
                            <w:rFonts w:asciiTheme="majorHAnsi" w:hAnsiTheme="majorHAnsi" w:cstheme="majorHAnsi"/>
                            <w:i/>
                            <w:iCs/>
                            <w:sz w:val="20"/>
                            <w:szCs w:val="20"/>
                            <w:lang w:val="en-US"/>
                          </w:rPr>
                          <w:t xml:space="preserve"> </w:t>
                        </w:r>
                        <w:proofErr w:type="spellStart"/>
                        <w:r w:rsidRPr="00C7174D">
                          <w:rPr>
                            <w:rStyle w:val="PageNumber"/>
                            <w:rFonts w:asciiTheme="majorHAnsi" w:hAnsiTheme="majorHAnsi" w:cstheme="majorHAnsi"/>
                            <w:i/>
                            <w:iCs/>
                            <w:sz w:val="20"/>
                            <w:szCs w:val="20"/>
                            <w:lang w:val="en-US"/>
                          </w:rPr>
                          <w:t>fonde</w:t>
                        </w:r>
                        <w:proofErr w:type="spellEnd"/>
                        <w:r w:rsidRPr="00C7174D">
                          <w:rPr>
                            <w:rStyle w:val="PageNumber"/>
                            <w:rFonts w:asciiTheme="majorHAnsi" w:hAnsiTheme="majorHAnsi" w:cstheme="majorHAnsi"/>
                            <w:sz w:val="20"/>
                            <w:szCs w:val="20"/>
                            <w:lang w:val="en-US"/>
                          </w:rPr>
                          <w:t xml:space="preserve">) states that foundations must include a report by the board of directors on foundation governance, cf. section 60 of the Commercial Foundations Act, in the management commentary or in the notes.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 xml:space="preserve">According to section 60 of the Commercial Foundations Act </w:t>
                        </w:r>
                        <w:r w:rsidRPr="00C7174D">
                          <w:rPr>
                            <w:rStyle w:val="PageNumber"/>
                            <w:rFonts w:asciiTheme="majorHAnsi" w:hAnsiTheme="majorHAnsi" w:cstheme="majorHAnsi"/>
                            <w:sz w:val="20"/>
                            <w:szCs w:val="20"/>
                            <w:lang w:val="en-US"/>
                          </w:rPr>
                          <w:t xml:space="preserve">the report contains information on how the commercial foundation has addressed the Recommendations. The board of directors can choose to comply with the Recommendations or explain what they have chosen to do instead.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Style w:val="PageNumber"/>
                            <w:rFonts w:asciiTheme="majorHAnsi" w:eastAsia="Verdana" w:hAnsiTheme="majorHAnsi" w:cstheme="majorHAnsi"/>
                            <w:i/>
                            <w:iCs/>
                            <w:sz w:val="20"/>
                            <w:szCs w:val="20"/>
                          </w:rPr>
                        </w:pPr>
                        <w:r w:rsidRPr="00C7174D">
                          <w:rPr>
                            <w:rStyle w:val="PageNumber"/>
                            <w:rFonts w:asciiTheme="majorHAnsi" w:hAnsiTheme="majorHAnsi" w:cstheme="majorHAnsi"/>
                            <w:i/>
                            <w:iCs/>
                            <w:sz w:val="20"/>
                            <w:szCs w:val="20"/>
                            <w:lang w:val="en-US"/>
                          </w:rPr>
                          <w:t>Failure to comply with a Recommendati</w:t>
                        </w:r>
                        <w:r w:rsidRPr="00C7174D">
                          <w:rPr>
                            <w:rStyle w:val="PageNumber"/>
                            <w:rFonts w:asciiTheme="majorHAnsi" w:hAnsiTheme="majorHAnsi" w:cstheme="majorHAnsi"/>
                            <w:i/>
                            <w:iCs/>
                            <w:sz w:val="20"/>
                            <w:szCs w:val="20"/>
                            <w:lang w:val="en-US"/>
                          </w:rPr>
                          <w:t xml:space="preserve">on is </w:t>
                        </w:r>
                        <w:r w:rsidRPr="00C7174D">
                          <w:rPr>
                            <w:rStyle w:val="PageNumber"/>
                            <w:rFonts w:asciiTheme="majorHAnsi" w:hAnsiTheme="majorHAnsi" w:cstheme="majorHAnsi"/>
                            <w:b/>
                            <w:bCs/>
                            <w:i/>
                            <w:iCs/>
                            <w:sz w:val="20"/>
                            <w:szCs w:val="20"/>
                            <w:lang w:val="en-US"/>
                          </w:rPr>
                          <w:t xml:space="preserve">not </w:t>
                        </w:r>
                        <w:r w:rsidRPr="00C7174D">
                          <w:rPr>
                            <w:rStyle w:val="PageNumber"/>
                            <w:rFonts w:asciiTheme="majorHAnsi" w:hAnsiTheme="majorHAnsi" w:cstheme="majorHAnsi"/>
                            <w:i/>
                            <w:iCs/>
                            <w:sz w:val="20"/>
                            <w:szCs w:val="20"/>
                            <w:lang w:val="en-US"/>
                          </w:rPr>
                          <w:t xml:space="preserve">considered as a breach of rules but merely implies that the board of directors has chosen a different approach.  </w:t>
                        </w:r>
                      </w:p>
                      <w:p w:rsidR="00984D38" w:rsidRPr="00C7174D" w:rsidRDefault="00984D38">
                        <w:pPr>
                          <w:pStyle w:val="Brdtekst"/>
                          <w:spacing w:line="276" w:lineRule="auto"/>
                          <w:jc w:val="both"/>
                          <w:rPr>
                            <w:rFonts w:asciiTheme="majorHAnsi" w:eastAsia="Verdana" w:hAnsiTheme="majorHAnsi" w:cstheme="majorHAnsi"/>
                            <w:sz w:val="20"/>
                            <w:szCs w:val="20"/>
                            <w:lang w:val="en-US"/>
                          </w:rPr>
                        </w:pPr>
                      </w:p>
                      <w:p w:rsidR="00984D38" w:rsidRPr="00C7174D" w:rsidRDefault="00F06BBF">
                        <w:pPr>
                          <w:pStyle w:val="Brdtekst"/>
                          <w:spacing w:line="276" w:lineRule="auto"/>
                          <w:jc w:val="both"/>
                          <w:rPr>
                            <w:rFonts w:asciiTheme="majorHAnsi" w:hAnsiTheme="majorHAnsi" w:cstheme="majorHAnsi"/>
                            <w:sz w:val="20"/>
                            <w:szCs w:val="20"/>
                          </w:rPr>
                        </w:pPr>
                        <w:r w:rsidRPr="00C7174D">
                          <w:rPr>
                            <w:rStyle w:val="PageNumber"/>
                            <w:rFonts w:asciiTheme="majorHAnsi" w:hAnsiTheme="majorHAnsi" w:cstheme="majorHAnsi"/>
                            <w:sz w:val="20"/>
                            <w:szCs w:val="20"/>
                            <w:lang w:val="en-US"/>
                          </w:rPr>
                          <w:t xml:space="preserve">Reporting must reflect the current type of management at the date of the annual report. In the event of significant changes during </w:t>
                        </w:r>
                        <w:r w:rsidRPr="00C7174D">
                          <w:rPr>
                            <w:rStyle w:val="PageNumber"/>
                            <w:rFonts w:asciiTheme="majorHAnsi" w:hAnsiTheme="majorHAnsi" w:cstheme="majorHAnsi"/>
                            <w:sz w:val="20"/>
                            <w:szCs w:val="20"/>
                            <w:lang w:val="en-US"/>
                          </w:rPr>
                          <w:t xml:space="preserve">the year, or after the balance sheet date, this should be described in the report on foundation governance. It is important that board of directors consider the individual Recommendations. </w:t>
                        </w:r>
                      </w:p>
                    </w:txbxContent>
                  </v:textbox>
                </v:rect>
                <w10:wrap anchory="line"/>
              </v:group>
            </w:pict>
          </mc:Fallback>
        </mc:AlternateContent>
      </w: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C7174D" w:rsidP="00C7174D">
      <w:pPr>
        <w:rPr>
          <w:rStyle w:val="PageNumber"/>
          <w:rFonts w:asciiTheme="majorHAnsi" w:eastAsia="Verdana" w:hAnsiTheme="majorHAnsi" w:cstheme="majorHAnsi"/>
          <w:b/>
          <w:bCs/>
          <w:sz w:val="20"/>
          <w:szCs w:val="20"/>
        </w:rPr>
      </w:pPr>
      <w:r>
        <w:rPr>
          <w:rStyle w:val="PageNumber"/>
          <w:rFonts w:asciiTheme="majorHAnsi" w:hAnsiTheme="majorHAnsi" w:cstheme="majorHAnsi"/>
          <w:b/>
          <w:bCs/>
          <w:sz w:val="20"/>
          <w:szCs w:val="20"/>
        </w:rPr>
        <w:t>S</w:t>
      </w:r>
      <w:r w:rsidR="00F06BBF" w:rsidRPr="00C7174D">
        <w:rPr>
          <w:rStyle w:val="PageNumber"/>
          <w:rFonts w:asciiTheme="majorHAnsi" w:hAnsiTheme="majorHAnsi" w:cstheme="majorHAnsi"/>
          <w:b/>
          <w:bCs/>
          <w:sz w:val="20"/>
          <w:szCs w:val="20"/>
        </w:rPr>
        <w:t>tatutory report on foundation governance, cf. section 77a of the Financial Statements Act</w:t>
      </w: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C7174D">
      <w:pPr>
        <w:pStyle w:val="Brdtekst"/>
        <w:rPr>
          <w:rFonts w:asciiTheme="majorHAnsi" w:eastAsia="Verdana" w:hAnsiTheme="majorHAnsi" w:cstheme="majorHAnsi"/>
          <w:sz w:val="20"/>
          <w:szCs w:val="20"/>
          <w:lang w:val="en-US"/>
        </w:rPr>
      </w:pPr>
      <w:r w:rsidRPr="00C7174D">
        <w:rPr>
          <w:rStyle w:val="PageNumber"/>
          <w:rFonts w:asciiTheme="majorHAnsi" w:hAnsiTheme="majorHAnsi" w:cstheme="majorHAnsi"/>
          <w:sz w:val="20"/>
          <w:szCs w:val="20"/>
          <w:lang w:val="en-US"/>
        </w:rPr>
        <w:t>The report is an integrated part of the management commentary in the annual report of the foundation for the following accounting period:</w:t>
      </w:r>
      <w:r w:rsidRPr="00C7174D">
        <w:rPr>
          <w:rStyle w:val="PageNumber"/>
          <w:rFonts w:asciiTheme="majorHAnsi" w:hAnsiTheme="majorHAnsi" w:cstheme="majorHAnsi"/>
          <w:b/>
          <w:bCs/>
          <w:sz w:val="20"/>
          <w:szCs w:val="20"/>
          <w:lang w:val="en-US"/>
        </w:rPr>
        <w:t xml:space="preserve"> </w:t>
      </w:r>
      <w:r w:rsidRPr="00C7174D">
        <w:rPr>
          <w:rStyle w:val="PageNumber"/>
          <w:rFonts w:asciiTheme="majorHAnsi" w:hAnsiTheme="majorHAnsi" w:cstheme="majorHAnsi"/>
          <w:b/>
          <w:bCs/>
          <w:color w:val="C0504D"/>
          <w:sz w:val="20"/>
          <w:szCs w:val="20"/>
          <w:lang w:val="en-US"/>
        </w:rPr>
        <w:t>1/1/201</w:t>
      </w:r>
      <w:r w:rsidR="00DD6F50">
        <w:rPr>
          <w:rStyle w:val="PageNumber"/>
          <w:rFonts w:asciiTheme="majorHAnsi" w:hAnsiTheme="majorHAnsi" w:cstheme="majorHAnsi"/>
          <w:b/>
          <w:bCs/>
          <w:color w:val="C0504D"/>
          <w:sz w:val="20"/>
          <w:szCs w:val="20"/>
          <w:lang w:val="en-US"/>
        </w:rPr>
        <w:t>9</w:t>
      </w:r>
      <w:r w:rsidRPr="00C7174D">
        <w:rPr>
          <w:rStyle w:val="PageNumber"/>
          <w:rFonts w:asciiTheme="majorHAnsi" w:hAnsiTheme="majorHAnsi" w:cstheme="majorHAnsi"/>
          <w:b/>
          <w:bCs/>
          <w:color w:val="C0504D"/>
          <w:sz w:val="20"/>
          <w:szCs w:val="20"/>
          <w:lang w:val="en-US"/>
        </w:rPr>
        <w:t xml:space="preserve"> to 31/12/201</w:t>
      </w:r>
      <w:r w:rsidR="00DD6F50">
        <w:rPr>
          <w:rStyle w:val="PageNumber"/>
          <w:rFonts w:asciiTheme="majorHAnsi" w:hAnsiTheme="majorHAnsi" w:cstheme="majorHAnsi"/>
          <w:b/>
          <w:bCs/>
          <w:color w:val="C0504D"/>
          <w:sz w:val="20"/>
          <w:szCs w:val="20"/>
          <w:lang w:val="en-US"/>
        </w:rPr>
        <w:t>9</w:t>
      </w: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widowControl w:val="0"/>
        <w:ind w:left="108" w:hanging="108"/>
        <w:rPr>
          <w:rFonts w:asciiTheme="majorHAnsi" w:eastAsia="Verdana" w:hAnsiTheme="majorHAnsi" w:cstheme="majorHAnsi"/>
          <w:sz w:val="20"/>
          <w:szCs w:val="20"/>
          <w:lang w:val="en-US"/>
        </w:rPr>
      </w:pPr>
    </w:p>
    <w:p w:rsidR="00984D38" w:rsidRPr="00C7174D" w:rsidRDefault="00F06BBF">
      <w:pPr>
        <w:pStyle w:val="Brdtekst"/>
        <w:rPr>
          <w:rStyle w:val="PageNumber"/>
          <w:rFonts w:asciiTheme="majorHAnsi" w:eastAsia="Verdana" w:hAnsiTheme="majorHAnsi" w:cstheme="majorHAnsi"/>
          <w:b/>
          <w:bCs/>
          <w:sz w:val="20"/>
          <w:szCs w:val="20"/>
        </w:rPr>
      </w:pPr>
      <w:r w:rsidRPr="00C7174D">
        <w:rPr>
          <w:rStyle w:val="PageNumber"/>
          <w:rFonts w:asciiTheme="majorHAnsi" w:hAnsiTheme="majorHAnsi" w:cstheme="majorHAnsi"/>
          <w:b/>
          <w:bCs/>
          <w:sz w:val="20"/>
          <w:szCs w:val="20"/>
          <w:lang w:val="en-US"/>
        </w:rPr>
        <w:t xml:space="preserve">Recommendations on foundation governance </w:t>
      </w:r>
    </w:p>
    <w:p w:rsidR="00984D38" w:rsidRPr="00C7174D" w:rsidRDefault="00984D38">
      <w:pPr>
        <w:pStyle w:val="Brdtekst"/>
        <w:rPr>
          <w:rFonts w:asciiTheme="majorHAnsi" w:eastAsia="Verdana" w:hAnsiTheme="majorHAnsi" w:cstheme="majorHAnsi"/>
          <w:b/>
          <w:bCs/>
          <w:sz w:val="20"/>
          <w:szCs w:val="20"/>
          <w:lang w:val="en-US"/>
        </w:rPr>
      </w:pPr>
    </w:p>
    <w:p w:rsidR="00984D38" w:rsidRPr="00C7174D" w:rsidRDefault="00F06BBF">
      <w:pPr>
        <w:pStyle w:val="Brdtekst"/>
        <w:rPr>
          <w:rStyle w:val="PageNumber"/>
          <w:rFonts w:asciiTheme="majorHAnsi" w:eastAsia="Verdana" w:hAnsiTheme="majorHAnsi" w:cstheme="majorHAnsi"/>
          <w:sz w:val="20"/>
          <w:szCs w:val="20"/>
        </w:rPr>
      </w:pPr>
      <w:r w:rsidRPr="00C7174D">
        <w:rPr>
          <w:rStyle w:val="PageNumber"/>
          <w:rFonts w:asciiTheme="majorHAnsi" w:hAnsiTheme="majorHAnsi" w:cstheme="majorHAnsi"/>
          <w:sz w:val="20"/>
          <w:szCs w:val="20"/>
          <w:lang w:val="en-US"/>
        </w:rPr>
        <w:t xml:space="preserve">The foundation is covered by the Recommendations on Foundation Governance, which are available on the website of the Committee on Foundation Governance </w:t>
      </w:r>
      <w:hyperlink r:id="rId7" w:history="1">
        <w:r w:rsidRPr="00C7174D">
          <w:rPr>
            <w:rStyle w:val="Hyperlink0"/>
            <w:rFonts w:asciiTheme="majorHAnsi" w:eastAsia="Arial Unicode MS" w:hAnsiTheme="majorHAnsi" w:cstheme="majorHAnsi"/>
            <w:sz w:val="20"/>
            <w:szCs w:val="20"/>
          </w:rPr>
          <w:t>www.godfondsledelse.dk</w:t>
        </w:r>
      </w:hyperlink>
      <w:r w:rsidRPr="00C7174D">
        <w:rPr>
          <w:rStyle w:val="PageNumber"/>
          <w:rFonts w:asciiTheme="majorHAnsi" w:hAnsiTheme="majorHAnsi" w:cstheme="majorHAnsi"/>
          <w:sz w:val="20"/>
          <w:szCs w:val="20"/>
          <w:lang w:val="en-US"/>
        </w:rPr>
        <w:t>.</w:t>
      </w:r>
    </w:p>
    <w:p w:rsidR="00984D38" w:rsidRPr="00C7174D" w:rsidRDefault="00984D38">
      <w:pPr>
        <w:pStyle w:val="Brdtekst"/>
        <w:rPr>
          <w:rStyle w:val="PageNumber"/>
          <w:rFonts w:asciiTheme="majorHAnsi" w:eastAsia="Verdana" w:hAnsiTheme="majorHAnsi" w:cstheme="majorHAnsi"/>
          <w:sz w:val="20"/>
          <w:szCs w:val="20"/>
          <w:lang w:val="en-US"/>
        </w:rPr>
      </w:pPr>
    </w:p>
    <w:p w:rsidR="00984D38" w:rsidRPr="00C7174D" w:rsidRDefault="00984D38">
      <w:pPr>
        <w:pStyle w:val="Brdtekst"/>
        <w:rPr>
          <w:rStyle w:val="PageNumber"/>
          <w:rFonts w:asciiTheme="majorHAnsi" w:eastAsia="Verdana" w:hAnsiTheme="majorHAnsi" w:cstheme="majorHAnsi"/>
          <w:sz w:val="20"/>
          <w:szCs w:val="20"/>
          <w:lang w:val="en-US"/>
        </w:rPr>
      </w:pPr>
    </w:p>
    <w:p w:rsidR="00984D38" w:rsidRPr="00C7174D" w:rsidRDefault="00984D38">
      <w:pPr>
        <w:pStyle w:val="Brdtekst"/>
        <w:rPr>
          <w:rStyle w:val="PageNumber"/>
          <w:rFonts w:asciiTheme="majorHAnsi" w:eastAsia="Verdana" w:hAnsiTheme="majorHAnsi" w:cstheme="majorHAnsi"/>
          <w:sz w:val="20"/>
          <w:szCs w:val="20"/>
          <w:lang w:val="en-US"/>
        </w:rPr>
      </w:pPr>
    </w:p>
    <w:p w:rsidR="00984D38" w:rsidRPr="00C7174D" w:rsidRDefault="00984D38">
      <w:pPr>
        <w:pStyle w:val="Brdtekst"/>
        <w:rPr>
          <w:rStyle w:val="PageNumber"/>
          <w:rFonts w:asciiTheme="majorHAnsi" w:eastAsia="Verdana" w:hAnsiTheme="majorHAnsi" w:cstheme="majorHAnsi"/>
          <w:sz w:val="20"/>
          <w:szCs w:val="20"/>
          <w:lang w:val="en-US"/>
        </w:rPr>
      </w:pPr>
    </w:p>
    <w:p w:rsidR="00C7174D" w:rsidRDefault="00C7174D">
      <w:pPr>
        <w:rPr>
          <w:rFonts w:asciiTheme="majorHAnsi" w:eastAsia="Verdana" w:hAnsiTheme="majorHAnsi" w:cstheme="majorHAnsi"/>
          <w:color w:val="000000"/>
          <w:sz w:val="20"/>
          <w:szCs w:val="20"/>
          <w:u w:color="000000"/>
          <w:lang w:eastAsia="en-GB"/>
        </w:rPr>
      </w:pPr>
      <w:r>
        <w:rPr>
          <w:rFonts w:asciiTheme="majorHAnsi" w:eastAsia="Verdana" w:hAnsiTheme="majorHAnsi" w:cstheme="majorHAnsi"/>
          <w:sz w:val="20"/>
          <w:szCs w:val="20"/>
        </w:rPr>
        <w:br w:type="page"/>
      </w:r>
    </w:p>
    <w:p w:rsidR="00984D38" w:rsidRPr="00C7174D" w:rsidRDefault="00984D38">
      <w:pPr>
        <w:pStyle w:val="Brdtekst"/>
        <w:rPr>
          <w:rFonts w:asciiTheme="majorHAnsi" w:eastAsia="Verdana" w:hAnsiTheme="majorHAnsi" w:cstheme="majorHAnsi"/>
          <w:sz w:val="20"/>
          <w:szCs w:val="20"/>
          <w:lang w:val="en-US"/>
        </w:rPr>
      </w:pPr>
    </w:p>
    <w:p w:rsidR="00984D38" w:rsidRPr="00C7174D" w:rsidRDefault="00984D38">
      <w:pPr>
        <w:pStyle w:val="Brdtekst"/>
        <w:rPr>
          <w:rFonts w:asciiTheme="majorHAnsi" w:eastAsia="Verdana" w:hAnsiTheme="majorHAnsi" w:cstheme="majorHAnsi"/>
          <w:sz w:val="20"/>
          <w:szCs w:val="20"/>
          <w:lang w:val="en-US"/>
        </w:rPr>
      </w:pPr>
    </w:p>
    <w:tbl>
      <w:tblPr>
        <w:tblW w:w="1445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152"/>
        <w:gridCol w:w="2608"/>
        <w:gridCol w:w="3693"/>
      </w:tblGrid>
      <w:tr w:rsidR="00984D38" w:rsidRPr="00C7174D">
        <w:trPr>
          <w:trHeight w:val="1210"/>
          <w:tblHeader/>
        </w:trPr>
        <w:tc>
          <w:tcPr>
            <w:tcW w:w="8152" w:type="dxa"/>
            <w:tcBorders>
              <w:top w:val="single" w:sz="4" w:space="0" w:color="000000"/>
              <w:left w:val="single" w:sz="4" w:space="0" w:color="000000"/>
              <w:bottom w:val="single" w:sz="4" w:space="0" w:color="000000"/>
              <w:right w:val="single" w:sz="4" w:space="0" w:color="000000"/>
            </w:tcBorders>
            <w:shd w:val="clear" w:color="auto" w:fill="49463F"/>
            <w:tcMar>
              <w:top w:w="80" w:type="dxa"/>
              <w:left w:w="80" w:type="dxa"/>
              <w:bottom w:w="80" w:type="dxa"/>
              <w:right w:w="80" w:type="dxa"/>
            </w:tcMar>
          </w:tcPr>
          <w:p w:rsidR="00984D38" w:rsidRPr="00C7174D" w:rsidRDefault="00F06BBF">
            <w:pPr>
              <w:pStyle w:val="Brdtekst"/>
              <w:spacing w:before="120"/>
              <w:rPr>
                <w:rStyle w:val="PageNumber"/>
                <w:rFonts w:asciiTheme="majorHAnsi" w:eastAsia="Verdana" w:hAnsiTheme="majorHAnsi" w:cstheme="majorHAnsi"/>
                <w:b/>
                <w:bCs/>
                <w:color w:val="FFFFFF"/>
                <w:sz w:val="20"/>
                <w:szCs w:val="20"/>
                <w:u w:color="FFFFFF"/>
              </w:rPr>
            </w:pPr>
            <w:r w:rsidRPr="00C7174D">
              <w:rPr>
                <w:rStyle w:val="PageNumber"/>
                <w:rFonts w:asciiTheme="majorHAnsi" w:hAnsiTheme="majorHAnsi" w:cstheme="majorHAnsi"/>
                <w:b/>
                <w:bCs/>
                <w:color w:val="FFFFFF"/>
                <w:sz w:val="20"/>
                <w:szCs w:val="20"/>
                <w:u w:color="FFFFFF"/>
                <w:lang w:val="en-US"/>
              </w:rPr>
              <w:t>Recommendation</w:t>
            </w:r>
          </w:p>
          <w:p w:rsidR="00984D38" w:rsidRPr="00C7174D" w:rsidRDefault="00984D38">
            <w:pPr>
              <w:pStyle w:val="Brdtekst"/>
              <w:rPr>
                <w:rStyle w:val="PageNumber"/>
                <w:rFonts w:asciiTheme="majorHAnsi" w:eastAsia="Verdana" w:hAnsiTheme="majorHAnsi" w:cstheme="majorHAnsi"/>
                <w:b/>
                <w:bCs/>
                <w:color w:val="FFFFFF"/>
                <w:sz w:val="20"/>
                <w:szCs w:val="20"/>
                <w:u w:color="FFFFFF"/>
                <w:lang w:val="da-DK"/>
              </w:rPr>
            </w:pPr>
          </w:p>
          <w:p w:rsidR="00984D38" w:rsidRPr="00C7174D" w:rsidRDefault="00984D38">
            <w:pPr>
              <w:pStyle w:val="Brdtekst"/>
              <w:rPr>
                <w:rFonts w:asciiTheme="majorHAnsi" w:hAnsiTheme="majorHAnsi" w:cstheme="majorHAnsi"/>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49463F"/>
            <w:tcMar>
              <w:top w:w="80" w:type="dxa"/>
              <w:left w:w="80" w:type="dxa"/>
              <w:bottom w:w="80" w:type="dxa"/>
              <w:right w:w="80" w:type="dxa"/>
            </w:tcMar>
          </w:tcPr>
          <w:p w:rsidR="00984D38" w:rsidRPr="00C7174D" w:rsidRDefault="00F06BBF">
            <w:pPr>
              <w:pStyle w:val="Brdtekst"/>
              <w:spacing w:before="120"/>
              <w:jc w:val="center"/>
              <w:rPr>
                <w:rFonts w:asciiTheme="majorHAnsi" w:hAnsiTheme="majorHAnsi" w:cstheme="majorHAnsi"/>
                <w:sz w:val="20"/>
                <w:szCs w:val="20"/>
              </w:rPr>
            </w:pPr>
            <w:r w:rsidRPr="00C7174D">
              <w:rPr>
                <w:rStyle w:val="PageNumber"/>
                <w:rFonts w:asciiTheme="majorHAnsi" w:hAnsiTheme="majorHAnsi" w:cstheme="majorHAnsi"/>
                <w:b/>
                <w:bCs/>
                <w:color w:val="FFFFFF"/>
                <w:sz w:val="20"/>
                <w:szCs w:val="20"/>
                <w:u w:color="FFFFFF"/>
                <w:lang w:val="en-US"/>
              </w:rPr>
              <w:t>The foundation complies</w:t>
            </w:r>
          </w:p>
        </w:tc>
        <w:tc>
          <w:tcPr>
            <w:tcW w:w="3693" w:type="dxa"/>
            <w:tcBorders>
              <w:top w:val="single" w:sz="4" w:space="0" w:color="000000"/>
              <w:left w:val="single" w:sz="4" w:space="0" w:color="000000"/>
              <w:bottom w:val="single" w:sz="4" w:space="0" w:color="000000"/>
              <w:right w:val="single" w:sz="4" w:space="0" w:color="000000"/>
            </w:tcBorders>
            <w:shd w:val="clear" w:color="auto" w:fill="49463F"/>
            <w:tcMar>
              <w:top w:w="80" w:type="dxa"/>
              <w:left w:w="80" w:type="dxa"/>
              <w:bottom w:w="80" w:type="dxa"/>
              <w:right w:w="80" w:type="dxa"/>
            </w:tcMar>
          </w:tcPr>
          <w:p w:rsidR="00984D38" w:rsidRPr="00C7174D" w:rsidRDefault="00F06BBF">
            <w:pPr>
              <w:pStyle w:val="Brdtekst"/>
              <w:spacing w:before="120"/>
              <w:jc w:val="center"/>
              <w:rPr>
                <w:rStyle w:val="PageNumber"/>
                <w:rFonts w:asciiTheme="majorHAnsi" w:eastAsia="Verdana" w:hAnsiTheme="majorHAnsi" w:cstheme="majorHAnsi"/>
                <w:b/>
                <w:bCs/>
                <w:color w:val="FFFFFF"/>
                <w:sz w:val="20"/>
                <w:szCs w:val="20"/>
                <w:u w:color="FFFFFF"/>
              </w:rPr>
            </w:pPr>
            <w:r w:rsidRPr="00C7174D">
              <w:rPr>
                <w:rStyle w:val="PageNumber"/>
                <w:rFonts w:asciiTheme="majorHAnsi" w:hAnsiTheme="majorHAnsi" w:cstheme="majorHAnsi"/>
                <w:b/>
                <w:bCs/>
                <w:color w:val="FFFFFF"/>
                <w:sz w:val="20"/>
                <w:szCs w:val="20"/>
                <w:u w:color="FFFFFF"/>
                <w:lang w:val="en-US"/>
              </w:rPr>
              <w:t>The foundation does not comply and explains</w:t>
            </w:r>
          </w:p>
          <w:p w:rsidR="00984D38" w:rsidRPr="00C7174D" w:rsidRDefault="00984D38">
            <w:pPr>
              <w:pStyle w:val="Brdtekst"/>
              <w:spacing w:before="120"/>
              <w:jc w:val="center"/>
              <w:rPr>
                <w:rFonts w:asciiTheme="majorHAnsi" w:hAnsiTheme="majorHAnsi" w:cstheme="majorHAnsi"/>
                <w:sz w:val="20"/>
                <w:szCs w:val="20"/>
              </w:rPr>
            </w:pPr>
          </w:p>
        </w:tc>
      </w:tr>
      <w:tr w:rsidR="00984D38" w:rsidRPr="00C7174D">
        <w:tblPrEx>
          <w:shd w:val="clear" w:color="auto" w:fill="CED7E7"/>
        </w:tblPrEx>
        <w:trPr>
          <w:trHeight w:val="310"/>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2E6D82"/>
            <w:tcMar>
              <w:top w:w="80" w:type="dxa"/>
              <w:left w:w="80" w:type="dxa"/>
              <w:bottom w:w="80" w:type="dxa"/>
              <w:right w:w="80" w:type="dxa"/>
            </w:tcMar>
          </w:tcPr>
          <w:p w:rsidR="00984D38" w:rsidRPr="00C7174D" w:rsidRDefault="00F06BBF">
            <w:pPr>
              <w:pStyle w:val="Brdtekst"/>
              <w:spacing w:before="120" w:after="120"/>
              <w:rPr>
                <w:rFonts w:asciiTheme="majorHAnsi" w:hAnsiTheme="majorHAnsi" w:cstheme="majorHAnsi"/>
                <w:sz w:val="20"/>
                <w:szCs w:val="20"/>
              </w:rPr>
            </w:pPr>
            <w:r w:rsidRPr="00C7174D">
              <w:rPr>
                <w:rStyle w:val="PageNumber"/>
                <w:rFonts w:asciiTheme="majorHAnsi" w:hAnsiTheme="majorHAnsi" w:cstheme="majorHAnsi"/>
                <w:b/>
                <w:bCs/>
                <w:color w:val="FFFFFF"/>
                <w:sz w:val="20"/>
                <w:szCs w:val="20"/>
                <w:u w:color="FFFFFF"/>
                <w:lang w:val="en-US"/>
              </w:rPr>
              <w:t>1. Transparency and communication</w:t>
            </w:r>
          </w:p>
        </w:tc>
      </w:tr>
      <w:tr w:rsidR="00984D38" w:rsidRPr="00C7174D">
        <w:tblPrEx>
          <w:shd w:val="clear" w:color="auto" w:fill="CED7E7"/>
        </w:tblPrEx>
        <w:trPr>
          <w:trHeight w:val="1210"/>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rdtekst"/>
              <w:jc w:val="both"/>
              <w:rPr>
                <w:rFonts w:asciiTheme="majorHAnsi" w:hAnsiTheme="majorHAnsi" w:cstheme="majorHAnsi"/>
                <w:sz w:val="20"/>
                <w:szCs w:val="20"/>
              </w:rPr>
            </w:pPr>
            <w:r w:rsidRPr="00C7174D">
              <w:rPr>
                <w:rStyle w:val="PageNumber"/>
                <w:rFonts w:asciiTheme="majorHAnsi" w:hAnsiTheme="majorHAnsi" w:cstheme="majorHAnsi"/>
                <w:sz w:val="20"/>
                <w:szCs w:val="20"/>
                <w:lang w:val="en-US"/>
              </w:rPr>
              <w:t xml:space="preserve">1.1. </w:t>
            </w:r>
            <w:r w:rsidRPr="00C7174D">
              <w:rPr>
                <w:rStyle w:val="PageNumber"/>
                <w:rFonts w:asciiTheme="majorHAnsi" w:hAnsiTheme="majorHAnsi" w:cstheme="majorHAnsi"/>
                <w:b/>
                <w:bCs/>
                <w:sz w:val="20"/>
                <w:szCs w:val="20"/>
                <w:lang w:val="en-US"/>
              </w:rPr>
              <w:t xml:space="preserve">IT IS RECOMMENDED </w:t>
            </w:r>
            <w:r w:rsidRPr="00C7174D">
              <w:rPr>
                <w:rStyle w:val="PageNumber"/>
                <w:rFonts w:asciiTheme="majorHAnsi" w:hAnsiTheme="majorHAnsi" w:cstheme="majorHAnsi"/>
                <w:sz w:val="20"/>
                <w:szCs w:val="20"/>
                <w:lang w:val="en-US"/>
              </w:rPr>
              <w:t>that the board of directors adopt guidelines for external communication, including who can make public statements on behalf of the foundation and on what matters. The guidelines should address the need for transparency and stakeholders' needs and possibilities to obtain relevant up-to-date information about the circumstances of the foundation.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3D0724">
            <w:pPr>
              <w:spacing w:before="60" w:after="60"/>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The organization has some guidelines regarding communications, but generally the</w:t>
            </w:r>
            <w:r w:rsidR="00F06BBF" w:rsidRPr="00C7174D">
              <w:rPr>
                <w:rFonts w:asciiTheme="majorHAnsi" w:eastAsia="Calibri" w:hAnsiTheme="majorHAnsi" w:cstheme="majorHAnsi"/>
                <w:color w:val="000000"/>
                <w:sz w:val="20"/>
                <w:szCs w:val="20"/>
                <w:u w:color="000000"/>
              </w:rPr>
              <w:t xml:space="preserve"> CEO manages internal and external communication</w:t>
            </w:r>
            <w:r w:rsidRPr="00C7174D">
              <w:rPr>
                <w:rFonts w:asciiTheme="majorHAnsi" w:eastAsia="Calibri" w:hAnsiTheme="majorHAnsi" w:cstheme="majorHAnsi"/>
                <w:color w:val="000000"/>
                <w:sz w:val="20"/>
                <w:szCs w:val="20"/>
                <w:u w:color="000000"/>
              </w:rPr>
              <w:t xml:space="preserve">, and </w:t>
            </w:r>
            <w:proofErr w:type="gramStart"/>
            <w:r w:rsidRPr="00C7174D">
              <w:rPr>
                <w:rFonts w:asciiTheme="majorHAnsi" w:eastAsia="Calibri" w:hAnsiTheme="majorHAnsi" w:cstheme="majorHAnsi"/>
                <w:color w:val="000000"/>
                <w:sz w:val="20"/>
                <w:szCs w:val="20"/>
                <w:u w:color="000000"/>
              </w:rPr>
              <w:t>is able to</w:t>
            </w:r>
            <w:proofErr w:type="gramEnd"/>
            <w:r w:rsidRPr="00C7174D">
              <w:rPr>
                <w:rFonts w:asciiTheme="majorHAnsi" w:eastAsia="Calibri" w:hAnsiTheme="majorHAnsi" w:cstheme="majorHAnsi"/>
                <w:color w:val="000000"/>
                <w:sz w:val="20"/>
                <w:szCs w:val="20"/>
                <w:u w:color="000000"/>
              </w:rPr>
              <w:t xml:space="preserve"> make executive decisions that may differ from the guidelines.</w:t>
            </w:r>
          </w:p>
        </w:tc>
      </w:tr>
      <w:tr w:rsidR="00984D38" w:rsidRPr="00C7174D">
        <w:tblPrEx>
          <w:shd w:val="clear" w:color="auto" w:fill="CED7E7"/>
        </w:tblPrEx>
        <w:trPr>
          <w:trHeight w:val="310"/>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2E6D82"/>
            <w:tcMar>
              <w:top w:w="80" w:type="dxa"/>
              <w:left w:w="80" w:type="dxa"/>
              <w:bottom w:w="80" w:type="dxa"/>
              <w:right w:w="80" w:type="dxa"/>
            </w:tcMar>
            <w:vAlign w:val="center"/>
          </w:tcPr>
          <w:p w:rsidR="00984D38" w:rsidRPr="00C7174D" w:rsidRDefault="00F06BBF">
            <w:pPr>
              <w:pStyle w:val="Brdtekst"/>
              <w:spacing w:before="120" w:after="120"/>
              <w:rPr>
                <w:rFonts w:asciiTheme="majorHAnsi" w:hAnsiTheme="majorHAnsi" w:cstheme="majorHAnsi"/>
                <w:sz w:val="20"/>
                <w:szCs w:val="20"/>
              </w:rPr>
            </w:pPr>
            <w:r w:rsidRPr="00C7174D">
              <w:rPr>
                <w:rStyle w:val="PageNumber"/>
                <w:rFonts w:asciiTheme="majorHAnsi" w:hAnsiTheme="majorHAnsi" w:cstheme="majorHAnsi"/>
                <w:b/>
                <w:bCs/>
                <w:color w:val="FFFFFF"/>
                <w:sz w:val="20"/>
                <w:szCs w:val="20"/>
                <w:u w:color="FFFFFF"/>
                <w:lang w:val="en-US"/>
              </w:rPr>
              <w:t>2. Tasks and responsibilities of the board of directors</w:t>
            </w:r>
          </w:p>
        </w:tc>
      </w:tr>
      <w:tr w:rsidR="00984D38" w:rsidRPr="00C7174D">
        <w:tblPrEx>
          <w:shd w:val="clear" w:color="auto" w:fill="CED7E7"/>
        </w:tblPrEx>
        <w:trPr>
          <w:trHeight w:val="408"/>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rdtekst"/>
              <w:rPr>
                <w:rFonts w:asciiTheme="majorHAnsi" w:hAnsiTheme="majorHAnsi" w:cstheme="majorHAnsi"/>
                <w:sz w:val="20"/>
                <w:szCs w:val="20"/>
              </w:rPr>
            </w:pPr>
            <w:r w:rsidRPr="00C7174D">
              <w:rPr>
                <w:rStyle w:val="PageNumber"/>
                <w:rFonts w:asciiTheme="majorHAnsi" w:hAnsiTheme="majorHAnsi" w:cstheme="majorHAnsi"/>
                <w:sz w:val="20"/>
                <w:szCs w:val="20"/>
                <w:lang w:val="en-US"/>
              </w:rPr>
              <w:t>2.1 Overall tasks and responsibilities</w:t>
            </w:r>
          </w:p>
        </w:tc>
      </w:tr>
      <w:tr w:rsidR="00984D38" w:rsidRPr="00C7174D">
        <w:tblPrEx>
          <w:shd w:val="clear" w:color="auto" w:fill="CED7E7"/>
        </w:tblPrEx>
        <w:trPr>
          <w:trHeight w:val="139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2.1.1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that, in order to secure the activities of the commercial foundation in accordance with the purposes and interests of the foundation, at least once a year the board of directors take a position on the overall strategy and distribution policy of the foundation on the basis of the articles of association.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r>
      <w:tr w:rsidR="00984D38" w:rsidRPr="00C7174D">
        <w:tblPrEx>
          <w:shd w:val="clear" w:color="auto" w:fill="CED7E7"/>
        </w:tblPrEx>
        <w:trPr>
          <w:trHeight w:val="390"/>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rdtekst"/>
              <w:rPr>
                <w:rFonts w:asciiTheme="majorHAnsi" w:hAnsiTheme="majorHAnsi" w:cstheme="majorHAnsi"/>
                <w:sz w:val="20"/>
                <w:szCs w:val="20"/>
              </w:rPr>
            </w:pPr>
            <w:r w:rsidRPr="00C7174D">
              <w:rPr>
                <w:rStyle w:val="PageNumber"/>
                <w:rFonts w:asciiTheme="majorHAnsi" w:hAnsiTheme="majorHAnsi" w:cstheme="majorHAnsi"/>
                <w:sz w:val="20"/>
                <w:szCs w:val="20"/>
                <w:lang w:val="en-US"/>
              </w:rPr>
              <w:t>2.2 Chairman and vice-chairman of the board of directors</w:t>
            </w:r>
          </w:p>
        </w:tc>
      </w:tr>
      <w:tr w:rsidR="00984D38" w:rsidRPr="00C7174D">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2.2.1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 xml:space="preserve">that the chairman of the board of directors </w:t>
            </w:r>
            <w:proofErr w:type="spellStart"/>
            <w:r w:rsidRPr="00C7174D">
              <w:rPr>
                <w:rStyle w:val="PageNumber"/>
                <w:rFonts w:asciiTheme="majorHAnsi" w:hAnsiTheme="majorHAnsi" w:cstheme="majorHAnsi"/>
                <w:spacing w:val="1"/>
                <w:sz w:val="20"/>
                <w:szCs w:val="20"/>
              </w:rPr>
              <w:t>organise</w:t>
            </w:r>
            <w:proofErr w:type="spellEnd"/>
            <w:r w:rsidRPr="00C7174D">
              <w:rPr>
                <w:rStyle w:val="PageNumber"/>
                <w:rFonts w:asciiTheme="majorHAnsi" w:hAnsiTheme="majorHAnsi" w:cstheme="majorHAnsi"/>
                <w:spacing w:val="1"/>
                <w:sz w:val="20"/>
                <w:szCs w:val="20"/>
              </w:rPr>
              <w:t>, convene and chair meetings of the board of directors in order to ensure effective board work and to establish the best conditions for the work of the board members individually and collectively.</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r>
      <w:tr w:rsidR="00984D38" w:rsidRPr="00C7174D">
        <w:tblPrEx>
          <w:shd w:val="clear" w:color="auto" w:fill="CED7E7"/>
        </w:tblPrEx>
        <w:trPr>
          <w:trHeight w:val="223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NormalWeb"/>
              <w:spacing w:line="280" w:lineRule="exact"/>
              <w:jc w:val="both"/>
              <w:rPr>
                <w:rFonts w:asciiTheme="majorHAnsi" w:hAnsiTheme="majorHAnsi" w:cstheme="majorHAnsi"/>
                <w:sz w:val="20"/>
                <w:szCs w:val="20"/>
                <w:lang w:val="en-GB"/>
              </w:rPr>
            </w:pPr>
            <w:r w:rsidRPr="00C7174D">
              <w:rPr>
                <w:rStyle w:val="PageNumber"/>
                <w:rFonts w:asciiTheme="majorHAnsi" w:hAnsiTheme="majorHAnsi" w:cstheme="majorHAnsi"/>
                <w:sz w:val="20"/>
                <w:szCs w:val="20"/>
                <w:lang w:val="en-US"/>
              </w:rPr>
              <w:lastRenderedPageBreak/>
              <w:t xml:space="preserve">2.2.2 </w:t>
            </w:r>
            <w:r w:rsidRPr="00C7174D">
              <w:rPr>
                <w:rStyle w:val="PageNumber"/>
                <w:rFonts w:asciiTheme="majorHAnsi" w:hAnsiTheme="majorHAnsi" w:cstheme="majorHAnsi"/>
                <w:b/>
                <w:bCs/>
                <w:sz w:val="20"/>
                <w:szCs w:val="20"/>
                <w:lang w:val="en-US"/>
              </w:rPr>
              <w:t xml:space="preserve">IT IS RECOMMENDED </w:t>
            </w:r>
            <w:r w:rsidRPr="00C7174D">
              <w:rPr>
                <w:rStyle w:val="PageNumber"/>
                <w:rFonts w:asciiTheme="majorHAnsi" w:hAnsiTheme="majorHAnsi" w:cstheme="majorHAnsi"/>
                <w:sz w:val="20"/>
                <w:szCs w:val="20"/>
                <w:lang w:val="en-US"/>
              </w:rPr>
              <w:t xml:space="preserve">that if, in addition to the position as chairman, in exceptional circumstances, the chairman of the board of directors is requested  to perform specific operating functions for the commercial foundation, a board resolution be passed which ensures that the board of directors retains its independent, overall management and control function. Appropriate allocation of responsibilities should be ensured between the chairman, the vice-chairman, the other members of the board of directors and the executive board, if any.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3D0724">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w:t>
            </w:r>
            <w:r w:rsidR="00F06BBF" w:rsidRPr="00C7174D">
              <w:rPr>
                <w:rFonts w:asciiTheme="majorHAnsi" w:eastAsia="Calibri" w:hAnsiTheme="majorHAnsi" w:cstheme="majorHAnsi"/>
                <w:color w:val="000000"/>
                <w:sz w:val="20"/>
                <w:szCs w:val="20"/>
                <w:u w:color="000000"/>
              </w:rPr>
              <w:t>omplies</w:t>
            </w:r>
            <w:r w:rsidRPr="00C7174D">
              <w:rPr>
                <w:rFonts w:asciiTheme="majorHAnsi" w:eastAsia="Calibri" w:hAnsiTheme="majorHAnsi" w:cstheme="majorHAnsi"/>
                <w:color w:val="000000"/>
                <w:sz w:val="20"/>
                <w:szCs w:val="20"/>
                <w:u w:color="000000"/>
              </w:rPr>
              <w:t xml:space="preserve"> – this has not been necessary as our current Chair does not perform specific operating functions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r>
      <w:tr w:rsidR="00984D38" w:rsidRPr="00C7174D">
        <w:tblPrEx>
          <w:shd w:val="clear" w:color="auto" w:fill="CED7E7"/>
        </w:tblPrEx>
        <w:trPr>
          <w:trHeight w:val="413"/>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rdtekst"/>
              <w:rPr>
                <w:rFonts w:asciiTheme="majorHAnsi" w:hAnsiTheme="majorHAnsi" w:cstheme="majorHAnsi"/>
                <w:sz w:val="20"/>
                <w:szCs w:val="20"/>
              </w:rPr>
            </w:pPr>
            <w:r w:rsidRPr="00C7174D">
              <w:rPr>
                <w:rStyle w:val="PageNumber"/>
                <w:rFonts w:asciiTheme="majorHAnsi" w:hAnsiTheme="majorHAnsi" w:cstheme="majorHAnsi"/>
                <w:sz w:val="20"/>
                <w:szCs w:val="20"/>
                <w:lang w:val="en-US"/>
              </w:rPr>
              <w:t>2.3 Composition and organization of the board of directors</w:t>
            </w:r>
          </w:p>
        </w:tc>
      </w:tr>
      <w:tr w:rsidR="00984D38" w:rsidRPr="00C7174D">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2.3.1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that the board of directors regularly assess and stipulate the competences that the board of directors is to possess in order to perform the tasks incumbent upon the board of directors as well as possible.</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r>
      <w:tr w:rsidR="00984D38" w:rsidRPr="00C7174D">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2.3.2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that, with due respect of any right in the articles of association to make appointments, the board of directors ensures a structured, thorough and transparent process for selection and nomination of candidates for the board of directors.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jc w:val="center"/>
              <w:rPr>
                <w:rFonts w:asciiTheme="majorHAnsi" w:eastAsia="Verdana" w:hAnsiTheme="majorHAnsi" w:cstheme="majorHAnsi"/>
                <w:color w:val="C0504D"/>
                <w:sz w:val="20"/>
                <w:szCs w:val="20"/>
                <w:u w:color="000000"/>
              </w:rPr>
            </w:pPr>
          </w:p>
          <w:p w:rsidR="00984D38" w:rsidRPr="00C7174D" w:rsidRDefault="003D0724">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 xml:space="preserve">The Board of Directors and CEO lead search functions for new board members, and make appointments, when necessary, to ensure the appropriate competences are possessed by the board of directors </w:t>
            </w:r>
            <w:proofErr w:type="gramStart"/>
            <w:r w:rsidRPr="00C7174D">
              <w:rPr>
                <w:rFonts w:asciiTheme="majorHAnsi" w:eastAsia="Calibri" w:hAnsiTheme="majorHAnsi" w:cstheme="majorHAnsi"/>
                <w:color w:val="000000"/>
                <w:sz w:val="20"/>
                <w:szCs w:val="20"/>
                <w:u w:color="000000"/>
              </w:rPr>
              <w:t>as a whole to</w:t>
            </w:r>
            <w:proofErr w:type="gramEnd"/>
            <w:r w:rsidRPr="00C7174D">
              <w:rPr>
                <w:rFonts w:asciiTheme="majorHAnsi" w:eastAsia="Calibri" w:hAnsiTheme="majorHAnsi" w:cstheme="majorHAnsi"/>
                <w:color w:val="000000"/>
                <w:sz w:val="20"/>
                <w:szCs w:val="20"/>
                <w:u w:color="000000"/>
              </w:rPr>
              <w:t xml:space="preserve"> steer the foundations to perform its tasks</w:t>
            </w:r>
            <w:r w:rsidR="00DD6F50">
              <w:rPr>
                <w:rFonts w:asciiTheme="majorHAnsi" w:eastAsia="Calibri" w:hAnsiTheme="majorHAnsi" w:cstheme="majorHAnsi"/>
                <w:color w:val="000000"/>
                <w:sz w:val="20"/>
                <w:szCs w:val="20"/>
                <w:u w:color="000000"/>
              </w:rPr>
              <w:t>.</w:t>
            </w:r>
          </w:p>
        </w:tc>
      </w:tr>
      <w:tr w:rsidR="00984D38" w:rsidRPr="00C7174D">
        <w:tblPrEx>
          <w:shd w:val="clear" w:color="auto" w:fill="CED7E7"/>
        </w:tblPrEx>
        <w:trPr>
          <w:trHeight w:val="167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lastRenderedPageBreak/>
              <w:t xml:space="preserve">2.3.3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that members of the board of directors are appointed on the basis of their personal qualities and competences taking into account the collective competences of the board and when composing and nominating new members of the board the need for introducing new talent is weighed against the need for continuity and the need for diversity is considered in relation to commercial and grants experience, age and gender.</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r>
      <w:tr w:rsidR="00984D38" w:rsidRPr="00C7174D">
        <w:tblPrEx>
          <w:shd w:val="clear" w:color="auto" w:fill="CED7E7"/>
        </w:tblPrEx>
        <w:trPr>
          <w:trHeight w:val="475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2.3.4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that in the management review in the annual report and on the commercial foundation's website, there is an account of the composition of the board of directors, including its diversity, and that the following information is provided on each board member:</w:t>
            </w:r>
          </w:p>
          <w:p w:rsidR="00984D38" w:rsidRPr="00C7174D" w:rsidRDefault="00F06BBF">
            <w:pPr>
              <w:pStyle w:val="BodyText"/>
              <w:numPr>
                <w:ilvl w:val="0"/>
                <w:numId w:val="1"/>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the name and position of the member,</w:t>
            </w:r>
          </w:p>
          <w:p w:rsidR="00984D38" w:rsidRPr="00C7174D" w:rsidRDefault="00F06BBF">
            <w:pPr>
              <w:pStyle w:val="BodyText"/>
              <w:numPr>
                <w:ilvl w:val="0"/>
                <w:numId w:val="1"/>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the age and gender of the member,</w:t>
            </w:r>
          </w:p>
          <w:p w:rsidR="00984D38" w:rsidRPr="00C7174D" w:rsidRDefault="00F06BBF">
            <w:pPr>
              <w:pStyle w:val="BodyText"/>
              <w:numPr>
                <w:ilvl w:val="0"/>
                <w:numId w:val="1"/>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date of original appointment to the board whether the member has been re-elected, and expiry of the current election period,</w:t>
            </w:r>
          </w:p>
          <w:p w:rsidR="00984D38" w:rsidRPr="00C7174D" w:rsidRDefault="00F06BBF">
            <w:pPr>
              <w:pStyle w:val="BodyText"/>
              <w:numPr>
                <w:ilvl w:val="0"/>
                <w:numId w:val="1"/>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any special competences possessed by the member,</w:t>
            </w:r>
          </w:p>
          <w:p w:rsidR="00984D38" w:rsidRPr="00C7174D" w:rsidRDefault="00F06BBF">
            <w:pPr>
              <w:pStyle w:val="BodyText"/>
              <w:numPr>
                <w:ilvl w:val="0"/>
                <w:numId w:val="1"/>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 xml:space="preserve">other managerial positions held by the member, including positions on executive boards, boards of directors and supervisory boards and board committees in Danish and foreign foundations, enterprises and institutions, as well as other demanding </w:t>
            </w:r>
            <w:proofErr w:type="spellStart"/>
            <w:r w:rsidRPr="00C7174D">
              <w:rPr>
                <w:rStyle w:val="PageNumber"/>
                <w:rFonts w:asciiTheme="majorHAnsi" w:hAnsiTheme="majorHAnsi" w:cstheme="majorHAnsi"/>
                <w:spacing w:val="1"/>
                <w:sz w:val="20"/>
                <w:szCs w:val="20"/>
              </w:rPr>
              <w:t>organisation</w:t>
            </w:r>
            <w:proofErr w:type="spellEnd"/>
            <w:r w:rsidRPr="00C7174D">
              <w:rPr>
                <w:rStyle w:val="PageNumber"/>
                <w:rFonts w:asciiTheme="majorHAnsi" w:hAnsiTheme="majorHAnsi" w:cstheme="majorHAnsi"/>
                <w:spacing w:val="1"/>
                <w:sz w:val="20"/>
                <w:szCs w:val="20"/>
              </w:rPr>
              <w:t xml:space="preserve"> tasks,</w:t>
            </w:r>
          </w:p>
          <w:p w:rsidR="00984D38" w:rsidRPr="00C7174D" w:rsidRDefault="00F06BBF">
            <w:pPr>
              <w:pStyle w:val="BodyText"/>
              <w:numPr>
                <w:ilvl w:val="0"/>
                <w:numId w:val="1"/>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whether the member has been appointed by authorities/providers of grants etc., and</w:t>
            </w:r>
          </w:p>
          <w:p w:rsidR="00984D38" w:rsidRPr="00C7174D" w:rsidRDefault="00F06BBF">
            <w:pPr>
              <w:pStyle w:val="BodyText"/>
              <w:numPr>
                <w:ilvl w:val="0"/>
                <w:numId w:val="1"/>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whether the member is considered independent.</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jc w:val="center"/>
              <w:rPr>
                <w:rFonts w:asciiTheme="majorHAnsi" w:hAnsiTheme="majorHAnsi" w:cstheme="majorHAnsi"/>
                <w:sz w:val="20"/>
                <w:szCs w:val="20"/>
              </w:rPr>
            </w:pPr>
          </w:p>
          <w:p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It is the opinion of THE WHY Foundation that age and gender are personal matters which should not be made public.</w:t>
            </w:r>
          </w:p>
          <w:p w:rsidR="00984D38" w:rsidRPr="00C7174D" w:rsidRDefault="00984D38">
            <w:pPr>
              <w:jc w:val="center"/>
              <w:rPr>
                <w:rFonts w:asciiTheme="majorHAnsi" w:hAnsiTheme="majorHAnsi" w:cstheme="majorHAnsi"/>
                <w:sz w:val="20"/>
                <w:szCs w:val="20"/>
              </w:rPr>
            </w:pPr>
          </w:p>
          <w:p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 xml:space="preserve">THE WHY Foundation continuously evaluates Board Members competencies and take others Board posts they might hold into consideration in order to ensure </w:t>
            </w:r>
            <w:r w:rsidR="00EA641A" w:rsidRPr="00C7174D">
              <w:rPr>
                <w:rFonts w:asciiTheme="majorHAnsi" w:eastAsia="Calibri" w:hAnsiTheme="majorHAnsi" w:cstheme="majorHAnsi"/>
                <w:color w:val="000000"/>
                <w:sz w:val="20"/>
                <w:szCs w:val="20"/>
                <w:u w:color="000000"/>
              </w:rPr>
              <w:t xml:space="preserve">diversity and </w:t>
            </w:r>
            <w:r w:rsidRPr="00C7174D">
              <w:rPr>
                <w:rFonts w:asciiTheme="majorHAnsi" w:eastAsia="Calibri" w:hAnsiTheme="majorHAnsi" w:cstheme="majorHAnsi"/>
                <w:color w:val="000000"/>
                <w:sz w:val="20"/>
                <w:szCs w:val="20"/>
                <w:u w:color="000000"/>
              </w:rPr>
              <w:t xml:space="preserve">independence </w:t>
            </w:r>
            <w:r w:rsidR="00EA641A" w:rsidRPr="00C7174D">
              <w:rPr>
                <w:rFonts w:asciiTheme="majorHAnsi" w:eastAsia="Calibri" w:hAnsiTheme="majorHAnsi" w:cstheme="majorHAnsi"/>
                <w:color w:val="000000"/>
                <w:sz w:val="20"/>
                <w:szCs w:val="20"/>
                <w:u w:color="000000"/>
              </w:rPr>
              <w:t>amongst</w:t>
            </w:r>
            <w:r w:rsidRPr="00C7174D">
              <w:rPr>
                <w:rFonts w:asciiTheme="majorHAnsi" w:eastAsia="Calibri" w:hAnsiTheme="majorHAnsi" w:cstheme="majorHAnsi"/>
                <w:color w:val="000000"/>
                <w:sz w:val="20"/>
                <w:szCs w:val="20"/>
                <w:u w:color="000000"/>
              </w:rPr>
              <w:t xml:space="preserve"> the Board of Directors.</w:t>
            </w:r>
          </w:p>
        </w:tc>
      </w:tr>
      <w:tr w:rsidR="00984D38" w:rsidRPr="00C7174D">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lastRenderedPageBreak/>
              <w:t xml:space="preserve">2.3.5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 xml:space="preserve">that </w:t>
            </w:r>
            <w:proofErr w:type="gramStart"/>
            <w:r w:rsidRPr="00C7174D">
              <w:rPr>
                <w:rStyle w:val="PageNumber"/>
                <w:rFonts w:asciiTheme="majorHAnsi" w:hAnsiTheme="majorHAnsi" w:cstheme="majorHAnsi"/>
                <w:spacing w:val="1"/>
                <w:sz w:val="20"/>
                <w:szCs w:val="20"/>
              </w:rPr>
              <w:t>the majority of</w:t>
            </w:r>
            <w:proofErr w:type="gramEnd"/>
            <w:r w:rsidRPr="00C7174D">
              <w:rPr>
                <w:rStyle w:val="PageNumber"/>
                <w:rFonts w:asciiTheme="majorHAnsi" w:hAnsiTheme="majorHAnsi" w:cstheme="majorHAnsi"/>
                <w:spacing w:val="1"/>
                <w:sz w:val="20"/>
                <w:szCs w:val="20"/>
              </w:rPr>
              <w:t xml:space="preserve"> the members of the board of directors of the commercial foundation are not also members of the board of directors or executive board of the foundation's subsidiary(</w:t>
            </w:r>
            <w:proofErr w:type="spellStart"/>
            <w:r w:rsidRPr="00C7174D">
              <w:rPr>
                <w:rStyle w:val="PageNumber"/>
                <w:rFonts w:asciiTheme="majorHAnsi" w:hAnsiTheme="majorHAnsi" w:cstheme="majorHAnsi"/>
                <w:spacing w:val="1"/>
                <w:sz w:val="20"/>
                <w:szCs w:val="20"/>
              </w:rPr>
              <w:t>ies</w:t>
            </w:r>
            <w:proofErr w:type="spellEnd"/>
            <w:r w:rsidRPr="00C7174D">
              <w:rPr>
                <w:rStyle w:val="PageNumber"/>
                <w:rFonts w:asciiTheme="majorHAnsi" w:hAnsiTheme="majorHAnsi" w:cstheme="majorHAnsi"/>
                <w:spacing w:val="1"/>
                <w:sz w:val="20"/>
                <w:szCs w:val="20"/>
              </w:rPr>
              <w:t xml:space="preserve">), unless it is a fully owned actual holding company.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r>
      <w:tr w:rsidR="00984D38" w:rsidRPr="00C7174D">
        <w:tblPrEx>
          <w:shd w:val="clear" w:color="auto" w:fill="CED7E7"/>
        </w:tblPrEx>
        <w:trPr>
          <w:trHeight w:val="385"/>
        </w:trPr>
        <w:tc>
          <w:tcPr>
            <w:tcW w:w="10760"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84D38" w:rsidRPr="00C7174D" w:rsidRDefault="00F06BBF">
            <w:pPr>
              <w:pStyle w:val="Brdtekst"/>
              <w:rPr>
                <w:rFonts w:asciiTheme="majorHAnsi" w:hAnsiTheme="majorHAnsi" w:cstheme="majorHAnsi"/>
                <w:sz w:val="20"/>
                <w:szCs w:val="20"/>
              </w:rPr>
            </w:pPr>
            <w:r w:rsidRPr="00C7174D">
              <w:rPr>
                <w:rStyle w:val="PageNumber"/>
                <w:rFonts w:asciiTheme="majorHAnsi" w:hAnsiTheme="majorHAnsi" w:cstheme="majorHAnsi"/>
                <w:b/>
                <w:bCs/>
                <w:i/>
                <w:iCs/>
                <w:sz w:val="20"/>
                <w:szCs w:val="20"/>
                <w:u w:val="single"/>
                <w:lang w:val="en-US"/>
              </w:rPr>
              <w:t>2.4 Independence</w:t>
            </w:r>
          </w:p>
        </w:tc>
        <w:tc>
          <w:tcPr>
            <w:tcW w:w="3693" w:type="dxa"/>
            <w:tcBorders>
              <w:top w:val="single" w:sz="4" w:space="0" w:color="000000"/>
              <w:left w:val="nil"/>
              <w:bottom w:val="single" w:sz="4" w:space="0" w:color="000000"/>
              <w:right w:val="single" w:sz="4" w:space="0" w:color="000000"/>
            </w:tcBorders>
            <w:shd w:val="clear" w:color="auto" w:fill="CED7E7"/>
            <w:tcMar>
              <w:top w:w="0" w:type="dxa"/>
              <w:left w:w="0" w:type="dxa"/>
              <w:bottom w:w="0" w:type="dxa"/>
              <w:right w:w="0" w:type="dxa"/>
            </w:tcMar>
          </w:tcPr>
          <w:p w:rsidR="00984D38" w:rsidRPr="00C7174D" w:rsidRDefault="00984D38">
            <w:pPr>
              <w:rPr>
                <w:rFonts w:asciiTheme="majorHAnsi" w:hAnsiTheme="majorHAnsi" w:cstheme="majorHAnsi"/>
                <w:sz w:val="20"/>
                <w:szCs w:val="20"/>
              </w:rPr>
            </w:pPr>
          </w:p>
        </w:tc>
      </w:tr>
      <w:tr w:rsidR="00984D38" w:rsidRPr="00C7174D">
        <w:tblPrEx>
          <w:shd w:val="clear" w:color="auto" w:fill="CED7E7"/>
        </w:tblPrEx>
        <w:trPr>
          <w:trHeight w:val="9018"/>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lastRenderedPageBreak/>
              <w:t xml:space="preserve">2.4.1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that an appropriate proportion of the board of directors be independent.</w:t>
            </w:r>
          </w:p>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If the board of directors (excluding employee representatives) is composed of up to four members, at least one member should be independent. If the board of directors is composed of between five and eight members, at least two members should be independent. If the board of directors is composed of nine to eleven members, at least three members should be independent, and so on.</w:t>
            </w:r>
          </w:p>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To be considered independent, this person may not: </w:t>
            </w:r>
          </w:p>
          <w:p w:rsidR="00984D38" w:rsidRPr="00C7174D" w:rsidRDefault="00F06BBF">
            <w:pPr>
              <w:pStyle w:val="BodyText"/>
              <w:numPr>
                <w:ilvl w:val="0"/>
                <w:numId w:val="2"/>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be or within the past three years have been member of the executive board, or senior employee in the foundation, or a subsidiary or associated company to the foundation,</w:t>
            </w:r>
          </w:p>
          <w:p w:rsidR="00984D38" w:rsidRPr="00C7174D" w:rsidRDefault="00F06BBF">
            <w:pPr>
              <w:pStyle w:val="BodyText"/>
              <w:numPr>
                <w:ilvl w:val="0"/>
                <w:numId w:val="2"/>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within the past five years have received larger emoluments, including distributions or other benefits from the foundation/group or a subsidiary or associated company to the foundation in other capacity than as member of the board of directors or executive board of the foundation,</w:t>
            </w:r>
          </w:p>
          <w:p w:rsidR="00984D38" w:rsidRPr="00C7174D" w:rsidRDefault="00F06BBF">
            <w:pPr>
              <w:pStyle w:val="BodyText"/>
              <w:numPr>
                <w:ilvl w:val="0"/>
                <w:numId w:val="2"/>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within the past year have had a significant business relationship (e.g. personal or indirectly as partner or employee, shareholder, customer, supplier or member of the executive management of companies with corresponding connection) with the foundation/group or a subsidiary or associated company of the foundation,</w:t>
            </w:r>
          </w:p>
          <w:p w:rsidR="00984D38" w:rsidRPr="00C7174D" w:rsidRDefault="00F06BBF">
            <w:pPr>
              <w:pStyle w:val="BodyText"/>
              <w:numPr>
                <w:ilvl w:val="0"/>
                <w:numId w:val="2"/>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be or within the past three years have been employed or partner at the external auditor,</w:t>
            </w:r>
          </w:p>
          <w:p w:rsidR="00984D38" w:rsidRPr="00C7174D" w:rsidRDefault="00F06BBF">
            <w:pPr>
              <w:pStyle w:val="BodyText"/>
              <w:numPr>
                <w:ilvl w:val="0"/>
                <w:numId w:val="2"/>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have been a member of the board of directors or executive board of the foundation for more than 12 years,</w:t>
            </w:r>
          </w:p>
          <w:p w:rsidR="00984D38" w:rsidRPr="00C7174D" w:rsidRDefault="00F06BBF">
            <w:pPr>
              <w:pStyle w:val="BodyText"/>
              <w:numPr>
                <w:ilvl w:val="0"/>
                <w:numId w:val="2"/>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have close relatives with persons who are not considered as independent,</w:t>
            </w:r>
          </w:p>
          <w:p w:rsidR="00984D38" w:rsidRPr="00C7174D" w:rsidRDefault="00F06BBF">
            <w:pPr>
              <w:pStyle w:val="BodyText"/>
              <w:numPr>
                <w:ilvl w:val="0"/>
                <w:numId w:val="2"/>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is the founder or a significant donor if the purpose of the foundation is to grant support to this person's family or others who are especially close to this person, or</w:t>
            </w:r>
          </w:p>
          <w:p w:rsidR="00984D38" w:rsidRPr="00C7174D" w:rsidRDefault="00F06BBF">
            <w:pPr>
              <w:pStyle w:val="BodyText"/>
              <w:numPr>
                <w:ilvl w:val="0"/>
                <w:numId w:val="2"/>
              </w:numPr>
              <w:rPr>
                <w:rFonts w:asciiTheme="majorHAnsi" w:hAnsiTheme="majorHAnsi" w:cstheme="majorHAnsi"/>
                <w:spacing w:val="1"/>
                <w:sz w:val="20"/>
                <w:szCs w:val="20"/>
              </w:rPr>
            </w:pPr>
            <w:r w:rsidRPr="00C7174D">
              <w:rPr>
                <w:rStyle w:val="PageNumber"/>
                <w:rFonts w:asciiTheme="majorHAnsi" w:hAnsiTheme="majorHAnsi" w:cstheme="majorHAnsi"/>
                <w:spacing w:val="1"/>
                <w:sz w:val="20"/>
                <w:szCs w:val="20"/>
              </w:rPr>
              <w:t xml:space="preserve">a member of the management of an </w:t>
            </w:r>
            <w:proofErr w:type="spellStart"/>
            <w:r w:rsidRPr="00C7174D">
              <w:rPr>
                <w:rStyle w:val="PageNumber"/>
                <w:rFonts w:asciiTheme="majorHAnsi" w:hAnsiTheme="majorHAnsi" w:cstheme="majorHAnsi"/>
                <w:spacing w:val="1"/>
                <w:sz w:val="20"/>
                <w:szCs w:val="20"/>
              </w:rPr>
              <w:t>organisation</w:t>
            </w:r>
            <w:proofErr w:type="spellEnd"/>
            <w:r w:rsidRPr="00C7174D">
              <w:rPr>
                <w:rStyle w:val="PageNumber"/>
                <w:rFonts w:asciiTheme="majorHAnsi" w:hAnsiTheme="majorHAnsi" w:cstheme="majorHAnsi"/>
                <w:spacing w:val="1"/>
                <w:sz w:val="20"/>
                <w:szCs w:val="20"/>
              </w:rPr>
              <w:t>, another foundation or similar, which receives or repeatedly within the past five years have received significant donations from the foundation.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F06BBF">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r>
      <w:tr w:rsidR="00984D38" w:rsidRPr="00C7174D">
        <w:tblPrEx>
          <w:shd w:val="clear" w:color="auto" w:fill="CED7E7"/>
        </w:tblPrEx>
        <w:trPr>
          <w:trHeight w:val="387"/>
        </w:trPr>
        <w:tc>
          <w:tcPr>
            <w:tcW w:w="10760"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84D38" w:rsidRPr="00C7174D" w:rsidRDefault="00F06BBF">
            <w:pPr>
              <w:pStyle w:val="Brdtekst"/>
              <w:rPr>
                <w:rFonts w:asciiTheme="majorHAnsi" w:hAnsiTheme="majorHAnsi" w:cstheme="majorHAnsi"/>
                <w:sz w:val="20"/>
                <w:szCs w:val="20"/>
              </w:rPr>
            </w:pPr>
            <w:r w:rsidRPr="00C7174D">
              <w:rPr>
                <w:rStyle w:val="PageNumber"/>
                <w:rFonts w:asciiTheme="majorHAnsi" w:hAnsiTheme="majorHAnsi" w:cstheme="majorHAnsi"/>
                <w:sz w:val="20"/>
                <w:szCs w:val="20"/>
                <w:lang w:val="en-US"/>
              </w:rPr>
              <w:lastRenderedPageBreak/>
              <w:t>2.5 Appointment period</w:t>
            </w:r>
          </w:p>
        </w:tc>
        <w:tc>
          <w:tcPr>
            <w:tcW w:w="3693" w:type="dxa"/>
            <w:tcBorders>
              <w:top w:val="single" w:sz="4" w:space="0" w:color="000000"/>
              <w:left w:val="nil"/>
              <w:bottom w:val="single" w:sz="4" w:space="0" w:color="000000"/>
              <w:right w:val="single" w:sz="4" w:space="0" w:color="000000"/>
            </w:tcBorders>
            <w:shd w:val="clear" w:color="auto" w:fill="CED7E7"/>
            <w:tcMar>
              <w:top w:w="0" w:type="dxa"/>
              <w:left w:w="0" w:type="dxa"/>
              <w:bottom w:w="0" w:type="dxa"/>
              <w:right w:w="0" w:type="dxa"/>
            </w:tcMar>
          </w:tcPr>
          <w:p w:rsidR="00984D38" w:rsidRPr="00C7174D" w:rsidRDefault="00984D38">
            <w:pPr>
              <w:rPr>
                <w:rFonts w:asciiTheme="majorHAnsi" w:hAnsiTheme="majorHAnsi" w:cstheme="majorHAnsi"/>
                <w:sz w:val="20"/>
                <w:szCs w:val="20"/>
              </w:rPr>
            </w:pPr>
          </w:p>
        </w:tc>
      </w:tr>
      <w:tr w:rsidR="00984D38" w:rsidRPr="00C7174D">
        <w:tblPrEx>
          <w:shd w:val="clear" w:color="auto" w:fill="CED7E7"/>
        </w:tblPrEx>
        <w:trPr>
          <w:trHeight w:val="1450"/>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2.5.1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that members of the board of directors be appointed for a minimum period of two years and a maximum period of four years.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EA641A" w:rsidP="00EA641A">
            <w:pPr>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Board Members are appointed for a period of two years and may be re-appointed. The circumstances and contributions of the individual Board Member are assessed</w:t>
            </w:r>
            <w:r w:rsidR="00C7174D" w:rsidRPr="00C7174D">
              <w:rPr>
                <w:rFonts w:asciiTheme="majorHAnsi" w:eastAsia="Calibri" w:hAnsiTheme="majorHAnsi" w:cstheme="majorHAnsi"/>
                <w:color w:val="000000"/>
                <w:sz w:val="20"/>
                <w:szCs w:val="20"/>
                <w:u w:color="000000"/>
              </w:rPr>
              <w:t xml:space="preserve"> at each re-appointment.</w:t>
            </w:r>
          </w:p>
        </w:tc>
      </w:tr>
      <w:tr w:rsidR="00984D38" w:rsidRPr="00C7174D">
        <w:tblPrEx>
          <w:shd w:val="clear" w:color="auto" w:fill="CED7E7"/>
        </w:tblPrEx>
        <w:trPr>
          <w:trHeight w:val="730"/>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84D38" w:rsidRPr="00C7174D" w:rsidRDefault="00F06BBF">
            <w:pPr>
              <w:pStyle w:val="Brdtekst"/>
              <w:jc w:val="both"/>
              <w:rPr>
                <w:rFonts w:asciiTheme="majorHAnsi" w:hAnsiTheme="majorHAnsi" w:cstheme="majorHAnsi"/>
                <w:sz w:val="20"/>
                <w:szCs w:val="20"/>
              </w:rPr>
            </w:pPr>
            <w:r w:rsidRPr="00C7174D">
              <w:rPr>
                <w:rStyle w:val="PageNumber"/>
                <w:rFonts w:asciiTheme="majorHAnsi" w:hAnsiTheme="majorHAnsi" w:cstheme="majorHAnsi"/>
                <w:sz w:val="20"/>
                <w:szCs w:val="20"/>
                <w:lang w:val="en-US"/>
              </w:rPr>
              <w:t xml:space="preserve">2.5.2 </w:t>
            </w:r>
            <w:r w:rsidRPr="00C7174D">
              <w:rPr>
                <w:rStyle w:val="PageNumber"/>
                <w:rFonts w:asciiTheme="majorHAnsi" w:hAnsiTheme="majorHAnsi" w:cstheme="majorHAnsi"/>
                <w:b/>
                <w:bCs/>
                <w:sz w:val="20"/>
                <w:szCs w:val="20"/>
                <w:lang w:val="en-US"/>
              </w:rPr>
              <w:t xml:space="preserve">IT IS RECOMMENDED </w:t>
            </w:r>
            <w:r w:rsidRPr="00C7174D">
              <w:rPr>
                <w:rStyle w:val="PageNumber"/>
                <w:rFonts w:asciiTheme="majorHAnsi" w:hAnsiTheme="majorHAnsi" w:cstheme="majorHAnsi"/>
                <w:sz w:val="20"/>
                <w:szCs w:val="20"/>
                <w:lang w:val="en-US"/>
              </w:rPr>
              <w:t xml:space="preserve">that an age limit for members of the board of directors be set, which is published in the management review or on the foundation's website.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984D38">
            <w:pP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4D38" w:rsidRPr="00C7174D" w:rsidRDefault="00C7174D">
            <w:pPr>
              <w:jc w:val="center"/>
              <w:rPr>
                <w:rFonts w:asciiTheme="majorHAnsi" w:hAnsiTheme="majorHAnsi" w:cstheme="majorHAnsi"/>
                <w:sz w:val="20"/>
                <w:szCs w:val="20"/>
              </w:rPr>
            </w:pPr>
            <w:r w:rsidRPr="00510AF5">
              <w:rPr>
                <w:rFonts w:asciiTheme="majorHAnsi" w:hAnsiTheme="majorHAnsi" w:cstheme="majorHAnsi"/>
                <w:sz w:val="20"/>
                <w:szCs w:val="20"/>
              </w:rPr>
              <w:t>Each Board Member is assessed on their individual merit regardless of age.</w:t>
            </w:r>
          </w:p>
        </w:tc>
      </w:tr>
      <w:tr w:rsidR="00984D38" w:rsidRPr="00C7174D">
        <w:tblPrEx>
          <w:shd w:val="clear" w:color="auto" w:fill="CED7E7"/>
        </w:tblPrEx>
        <w:trPr>
          <w:trHeight w:val="358"/>
        </w:trPr>
        <w:tc>
          <w:tcPr>
            <w:tcW w:w="10760"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984D38" w:rsidRPr="00C7174D" w:rsidRDefault="00F06BBF">
            <w:pPr>
              <w:pStyle w:val="Brdtekst"/>
              <w:rPr>
                <w:rFonts w:asciiTheme="majorHAnsi" w:hAnsiTheme="majorHAnsi" w:cstheme="majorHAnsi"/>
                <w:sz w:val="20"/>
                <w:szCs w:val="20"/>
              </w:rPr>
            </w:pPr>
            <w:r w:rsidRPr="00C7174D">
              <w:rPr>
                <w:rStyle w:val="PageNumber"/>
                <w:rFonts w:asciiTheme="majorHAnsi" w:hAnsiTheme="majorHAnsi" w:cstheme="majorHAnsi"/>
                <w:sz w:val="20"/>
                <w:szCs w:val="20"/>
                <w:lang w:val="en-US"/>
              </w:rPr>
              <w:t>2.6 Evaluation of the performance of the board of directors and the executive board</w:t>
            </w:r>
          </w:p>
        </w:tc>
        <w:tc>
          <w:tcPr>
            <w:tcW w:w="3693" w:type="dxa"/>
            <w:tcBorders>
              <w:top w:val="single" w:sz="4" w:space="0" w:color="000000"/>
              <w:left w:val="nil"/>
              <w:bottom w:val="single" w:sz="4" w:space="0" w:color="000000"/>
              <w:right w:val="single" w:sz="4" w:space="0" w:color="000000"/>
            </w:tcBorders>
            <w:shd w:val="clear" w:color="auto" w:fill="E8ECF3"/>
            <w:tcMar>
              <w:top w:w="0" w:type="dxa"/>
              <w:left w:w="0" w:type="dxa"/>
              <w:bottom w:w="0" w:type="dxa"/>
              <w:right w:w="0" w:type="dxa"/>
            </w:tcMar>
          </w:tcPr>
          <w:p w:rsidR="00984D38" w:rsidRPr="00C7174D" w:rsidRDefault="00984D38">
            <w:pPr>
              <w:rPr>
                <w:rFonts w:asciiTheme="majorHAnsi" w:hAnsiTheme="majorHAnsi" w:cstheme="majorHAnsi"/>
                <w:sz w:val="20"/>
                <w:szCs w:val="20"/>
              </w:rPr>
            </w:pPr>
          </w:p>
        </w:tc>
      </w:tr>
      <w:tr w:rsidR="00DD6F50" w:rsidRPr="00C7174D">
        <w:tblPrEx>
          <w:shd w:val="clear" w:color="auto" w:fill="CED7E7"/>
        </w:tblPrEx>
        <w:trPr>
          <w:trHeight w:val="111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6F50" w:rsidRPr="00C7174D" w:rsidRDefault="00DD6F50" w:rsidP="00DD6F50">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2.6.1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 xml:space="preserve">that the board of directors establish an evaluation procedure in which the board of directors, the chairman and the contributions and performance of individual members are evaluated </w:t>
            </w:r>
            <w:proofErr w:type="gramStart"/>
            <w:r w:rsidRPr="00C7174D">
              <w:rPr>
                <w:rStyle w:val="PageNumber"/>
                <w:rFonts w:asciiTheme="majorHAnsi" w:hAnsiTheme="majorHAnsi" w:cstheme="majorHAnsi"/>
                <w:spacing w:val="1"/>
                <w:sz w:val="20"/>
                <w:szCs w:val="20"/>
              </w:rPr>
              <w:t>annually</w:t>
            </w:r>
            <w:proofErr w:type="gramEnd"/>
            <w:r w:rsidRPr="00C7174D">
              <w:rPr>
                <w:rStyle w:val="PageNumber"/>
                <w:rFonts w:asciiTheme="majorHAnsi" w:hAnsiTheme="majorHAnsi" w:cstheme="majorHAnsi"/>
                <w:spacing w:val="1"/>
                <w:sz w:val="20"/>
                <w:szCs w:val="20"/>
              </w:rPr>
              <w:t xml:space="preserve"> and the result is discussed by the board of directors.</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F50" w:rsidRPr="00C7174D" w:rsidRDefault="00DD6F50" w:rsidP="00DD6F50">
            <w:pPr>
              <w:jc w:val="center"/>
              <w:rPr>
                <w:rFonts w:asciiTheme="majorHAnsi" w:hAnsiTheme="majorHAnsi" w:cstheme="majorHAnsi"/>
                <w:color w:val="FF0000"/>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F50" w:rsidRDefault="00DD6F50" w:rsidP="00DD6F50">
            <w:pPr>
              <w:jc w:val="center"/>
            </w:pPr>
            <w:r w:rsidRPr="001D4C0C">
              <w:rPr>
                <w:rFonts w:asciiTheme="majorHAnsi" w:hAnsiTheme="majorHAnsi" w:cstheme="majorHAnsi"/>
                <w:sz w:val="20"/>
                <w:szCs w:val="20"/>
              </w:rPr>
              <w:t>This matter will be reviewed over the course of 2020</w:t>
            </w:r>
          </w:p>
        </w:tc>
      </w:tr>
      <w:tr w:rsidR="00DD6F50" w:rsidRPr="00C7174D">
        <w:tblPrEx>
          <w:shd w:val="clear" w:color="auto" w:fill="CED7E7"/>
        </w:tblPrEx>
        <w:trPr>
          <w:trHeight w:val="83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D6F50" w:rsidRPr="00C7174D" w:rsidRDefault="00DD6F50" w:rsidP="00DD6F50">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2.6.2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that once a year the board of directors evaluate the work and performance of the executive board and/or the administrator (where relevant) in accordance with predefined clear criteria.</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F50" w:rsidRPr="00C7174D" w:rsidRDefault="00DD6F50" w:rsidP="00DD6F50">
            <w:pPr>
              <w:jc w:val="center"/>
              <w:rPr>
                <w:rFonts w:asciiTheme="majorHAnsi" w:hAnsiTheme="majorHAnsi" w:cstheme="majorHAnsi"/>
                <w:color w:val="FF0000"/>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6F50" w:rsidRDefault="00DD6F50" w:rsidP="00DD6F50">
            <w:pPr>
              <w:jc w:val="center"/>
            </w:pPr>
            <w:r w:rsidRPr="001D4C0C">
              <w:rPr>
                <w:rFonts w:asciiTheme="majorHAnsi" w:hAnsiTheme="majorHAnsi" w:cstheme="majorHAnsi"/>
                <w:sz w:val="20"/>
                <w:szCs w:val="20"/>
              </w:rPr>
              <w:t>This matter will be reviewed over the course of 2020</w:t>
            </w:r>
          </w:p>
        </w:tc>
      </w:tr>
      <w:tr w:rsidR="00510AF5" w:rsidRPr="00C7174D">
        <w:tblPrEx>
          <w:shd w:val="clear" w:color="auto" w:fill="CED7E7"/>
        </w:tblPrEx>
        <w:trPr>
          <w:trHeight w:val="310"/>
        </w:trPr>
        <w:tc>
          <w:tcPr>
            <w:tcW w:w="14453" w:type="dxa"/>
            <w:gridSpan w:val="3"/>
            <w:tcBorders>
              <w:top w:val="single" w:sz="4" w:space="0" w:color="000000"/>
              <w:left w:val="single" w:sz="4" w:space="0" w:color="000000"/>
              <w:bottom w:val="single" w:sz="4" w:space="0" w:color="000000"/>
              <w:right w:val="single" w:sz="4" w:space="0" w:color="000000"/>
            </w:tcBorders>
            <w:shd w:val="clear" w:color="auto" w:fill="2E6D82"/>
            <w:tcMar>
              <w:top w:w="80" w:type="dxa"/>
              <w:left w:w="80" w:type="dxa"/>
              <w:bottom w:w="80" w:type="dxa"/>
              <w:right w:w="80" w:type="dxa"/>
            </w:tcMar>
            <w:vAlign w:val="center"/>
          </w:tcPr>
          <w:p w:rsidR="00510AF5" w:rsidRPr="00C7174D" w:rsidRDefault="00510AF5" w:rsidP="00510AF5">
            <w:pPr>
              <w:pStyle w:val="Brdtekst"/>
              <w:spacing w:before="120" w:after="120"/>
              <w:rPr>
                <w:rFonts w:asciiTheme="majorHAnsi" w:hAnsiTheme="majorHAnsi" w:cstheme="majorHAnsi"/>
                <w:sz w:val="20"/>
                <w:szCs w:val="20"/>
              </w:rPr>
            </w:pPr>
            <w:r w:rsidRPr="00C7174D">
              <w:rPr>
                <w:rStyle w:val="PageNumber"/>
                <w:rFonts w:asciiTheme="majorHAnsi" w:hAnsiTheme="majorHAnsi" w:cstheme="majorHAnsi"/>
                <w:b/>
                <w:bCs/>
                <w:color w:val="FFFFFF"/>
                <w:sz w:val="20"/>
                <w:szCs w:val="20"/>
                <w:u w:color="FFFFFF"/>
                <w:lang w:val="en-US"/>
              </w:rPr>
              <w:t>3.  Remuneration of management</w:t>
            </w:r>
          </w:p>
        </w:tc>
      </w:tr>
      <w:tr w:rsidR="00510AF5" w:rsidRPr="00C7174D">
        <w:tblPrEx>
          <w:shd w:val="clear" w:color="auto" w:fill="CED7E7"/>
        </w:tblPrEx>
        <w:trPr>
          <w:trHeight w:val="167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0AF5" w:rsidRPr="00C7174D" w:rsidRDefault="00510AF5" w:rsidP="00510AF5">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lastRenderedPageBreak/>
              <w:t xml:space="preserve">3.1.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that the members of the board of directors of commercial foundations be remunerated with a fixed remuneration and that members of a possible executive board be remunerated with a fixed remuneration, possibly combined with a bonus which should not be dependent upon accounting results. The remuneration should reflect the work and responsibilities consequential to the position.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0AF5" w:rsidRPr="00C7174D" w:rsidRDefault="00510AF5" w:rsidP="00DD6F50">
            <w:pPr>
              <w:jc w:val="center"/>
              <w:rPr>
                <w:rFonts w:asciiTheme="majorHAnsi" w:hAnsiTheme="majorHAnsi" w:cstheme="majorHAnsi"/>
                <w:sz w:val="20"/>
                <w:szCs w:val="20"/>
              </w:rPr>
            </w:pP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0AF5" w:rsidRPr="00C7174D" w:rsidRDefault="00510AF5" w:rsidP="00510AF5">
            <w:pPr>
              <w:spacing w:before="60" w:after="60"/>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 xml:space="preserve">THE WHY Foundation does not pay remuneration and the members of the Board of Directors work pro-bono, as we are a not-for-profit organization and try to minimize our overheads and ensure that our funds overwhelmingly go to extending </w:t>
            </w:r>
            <w:bookmarkStart w:id="0" w:name="_GoBack"/>
            <w:bookmarkEnd w:id="0"/>
            <w:r w:rsidRPr="00C7174D">
              <w:rPr>
                <w:rFonts w:asciiTheme="majorHAnsi" w:eastAsia="Calibri" w:hAnsiTheme="majorHAnsi" w:cstheme="majorHAnsi"/>
                <w:color w:val="000000"/>
                <w:sz w:val="20"/>
                <w:szCs w:val="20"/>
                <w:u w:color="000000"/>
              </w:rPr>
              <w:t>our services to the world at large.</w:t>
            </w:r>
          </w:p>
        </w:tc>
      </w:tr>
      <w:tr w:rsidR="00510AF5" w:rsidRPr="00C7174D">
        <w:tblPrEx>
          <w:shd w:val="clear" w:color="auto" w:fill="CED7E7"/>
        </w:tblPrEx>
        <w:trPr>
          <w:trHeight w:val="2236"/>
        </w:trPr>
        <w:tc>
          <w:tcPr>
            <w:tcW w:w="8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0AF5" w:rsidRPr="00C7174D" w:rsidRDefault="00510AF5" w:rsidP="00510AF5">
            <w:pPr>
              <w:pStyle w:val="BodyText"/>
              <w:rPr>
                <w:rFonts w:asciiTheme="majorHAnsi" w:hAnsiTheme="majorHAnsi" w:cstheme="majorHAnsi"/>
                <w:sz w:val="20"/>
                <w:szCs w:val="20"/>
              </w:rPr>
            </w:pPr>
            <w:r w:rsidRPr="00C7174D">
              <w:rPr>
                <w:rStyle w:val="PageNumber"/>
                <w:rFonts w:asciiTheme="majorHAnsi" w:hAnsiTheme="majorHAnsi" w:cstheme="majorHAnsi"/>
                <w:spacing w:val="1"/>
                <w:sz w:val="20"/>
                <w:szCs w:val="20"/>
              </w:rPr>
              <w:t xml:space="preserve">3.2 </w:t>
            </w:r>
            <w:r w:rsidRPr="00C7174D">
              <w:rPr>
                <w:rStyle w:val="PageNumber"/>
                <w:rFonts w:asciiTheme="majorHAnsi" w:hAnsiTheme="majorHAnsi" w:cstheme="majorHAnsi"/>
                <w:b/>
                <w:bCs/>
                <w:spacing w:val="1"/>
                <w:sz w:val="20"/>
                <w:szCs w:val="20"/>
              </w:rPr>
              <w:t xml:space="preserve">IT IS RECOMMENDED </w:t>
            </w:r>
            <w:r w:rsidRPr="00C7174D">
              <w:rPr>
                <w:rStyle w:val="PageNumber"/>
                <w:rFonts w:asciiTheme="majorHAnsi" w:hAnsiTheme="majorHAnsi" w:cstheme="majorHAnsi"/>
                <w:spacing w:val="1"/>
                <w:sz w:val="20"/>
                <w:szCs w:val="20"/>
              </w:rPr>
              <w:t xml:space="preserve">that the annual financial statements provide information about the full remuneration received by each member of the board of directors and executive board (if relevant) from the commercial foundation and from other enterprises in the group. </w:t>
            </w:r>
            <w:proofErr w:type="gramStart"/>
            <w:r w:rsidRPr="00C7174D">
              <w:rPr>
                <w:rStyle w:val="PageNumber"/>
                <w:rFonts w:asciiTheme="majorHAnsi" w:hAnsiTheme="majorHAnsi" w:cstheme="majorHAnsi"/>
                <w:spacing w:val="1"/>
                <w:sz w:val="20"/>
                <w:szCs w:val="20"/>
              </w:rPr>
              <w:t>Furthermore</w:t>
            </w:r>
            <w:proofErr w:type="gramEnd"/>
            <w:r w:rsidRPr="00C7174D">
              <w:rPr>
                <w:rStyle w:val="PageNumber"/>
                <w:rFonts w:asciiTheme="majorHAnsi" w:hAnsiTheme="majorHAnsi" w:cstheme="majorHAnsi"/>
                <w:spacing w:val="1"/>
                <w:sz w:val="20"/>
                <w:szCs w:val="20"/>
              </w:rPr>
              <w:t xml:space="preserve"> there should be information on any other remuneration which members of the board of directors, except for employee representatives, have received for performing tasks for the foundation, subsidiaries of the foundation or enterprises in the same group as the foundation.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0AF5" w:rsidRPr="00C7174D" w:rsidRDefault="00510AF5" w:rsidP="00510AF5">
            <w:pPr>
              <w:spacing w:before="60" w:after="60"/>
              <w:jc w:val="center"/>
              <w:rPr>
                <w:rFonts w:asciiTheme="majorHAnsi" w:hAnsiTheme="majorHAnsi" w:cstheme="majorHAnsi"/>
                <w:sz w:val="20"/>
                <w:szCs w:val="20"/>
              </w:rPr>
            </w:pPr>
            <w:r w:rsidRPr="00C7174D">
              <w:rPr>
                <w:rFonts w:asciiTheme="majorHAnsi" w:eastAsia="Calibri" w:hAnsiTheme="majorHAnsi" w:cstheme="majorHAnsi"/>
                <w:color w:val="000000"/>
                <w:sz w:val="20"/>
                <w:szCs w:val="20"/>
                <w:u w:color="000000"/>
              </w:rPr>
              <w:t>complies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0AF5" w:rsidRPr="00C7174D" w:rsidRDefault="00510AF5" w:rsidP="00510AF5">
            <w:pPr>
              <w:rPr>
                <w:rFonts w:asciiTheme="majorHAnsi" w:hAnsiTheme="majorHAnsi" w:cstheme="majorHAnsi"/>
                <w:sz w:val="20"/>
                <w:szCs w:val="20"/>
              </w:rPr>
            </w:pPr>
          </w:p>
        </w:tc>
      </w:tr>
    </w:tbl>
    <w:p w:rsidR="00984D38" w:rsidRPr="00C7174D" w:rsidRDefault="00984D38">
      <w:pPr>
        <w:pStyle w:val="Brdtekst"/>
        <w:widowControl w:val="0"/>
        <w:ind w:left="108" w:hanging="108"/>
        <w:rPr>
          <w:rFonts w:asciiTheme="majorHAnsi" w:hAnsiTheme="majorHAnsi" w:cstheme="majorHAnsi"/>
          <w:sz w:val="20"/>
          <w:szCs w:val="20"/>
        </w:rPr>
      </w:pPr>
    </w:p>
    <w:sectPr w:rsidR="00984D38" w:rsidRPr="00C7174D">
      <w:headerReference w:type="default" r:id="rId8"/>
      <w:footerReference w:type="default" r:id="rId9"/>
      <w:pgSz w:w="16840" w:h="11900" w:orient="landscape"/>
      <w:pgMar w:top="1361" w:right="1134" w:bottom="136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02A" w:rsidRDefault="008A202A">
      <w:r>
        <w:separator/>
      </w:r>
    </w:p>
  </w:endnote>
  <w:endnote w:type="continuationSeparator" w:id="0">
    <w:p w:rsidR="008A202A" w:rsidRDefault="008A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D38" w:rsidRDefault="00F06BBF">
    <w:pPr>
      <w:pStyle w:val="Footer"/>
      <w:jc w:val="right"/>
      <w:rPr>
        <w:rStyle w:val="PageNumber"/>
        <w:rFonts w:ascii="Verdana" w:hAnsi="Verdana"/>
        <w:sz w:val="20"/>
        <w:szCs w:val="20"/>
        <w:lang w:val="en-US"/>
      </w:rPr>
    </w:pPr>
    <w:r>
      <w:rPr>
        <w:rStyle w:val="PageNumber"/>
        <w:rFonts w:ascii="Verdana" w:hAnsi="Verdana"/>
        <w:sz w:val="20"/>
        <w:szCs w:val="20"/>
        <w:lang w:val="en-US"/>
      </w:rPr>
      <w:fldChar w:fldCharType="begin"/>
    </w:r>
    <w:r>
      <w:rPr>
        <w:rStyle w:val="PageNumber"/>
        <w:rFonts w:ascii="Verdana" w:hAnsi="Verdana"/>
        <w:sz w:val="20"/>
        <w:szCs w:val="20"/>
        <w:lang w:val="en-US"/>
      </w:rPr>
      <w:instrText xml:space="preserve"> PAGE </w:instrText>
    </w:r>
    <w:r>
      <w:rPr>
        <w:rStyle w:val="PageNumber"/>
        <w:rFonts w:ascii="Verdana" w:hAnsi="Verdana"/>
        <w:sz w:val="20"/>
        <w:szCs w:val="20"/>
        <w:lang w:val="en-US"/>
      </w:rPr>
      <w:fldChar w:fldCharType="separate"/>
    </w:r>
    <w:r>
      <w:rPr>
        <w:rStyle w:val="PageNumber"/>
        <w:rFonts w:ascii="Verdana" w:hAnsi="Verdana"/>
        <w:sz w:val="20"/>
        <w:szCs w:val="20"/>
        <w:lang w:val="en-US"/>
      </w:rPr>
      <w:t>10</w:t>
    </w:r>
    <w:r>
      <w:rPr>
        <w:rStyle w:val="PageNumber"/>
        <w:rFonts w:ascii="Verdana" w:hAnsi="Verdana"/>
        <w:sz w:val="20"/>
        <w:szCs w:val="20"/>
        <w:lang w:val="en-US"/>
      </w:rPr>
      <w:fldChar w:fldCharType="end"/>
    </w:r>
  </w:p>
  <w:p w:rsidR="00984D38" w:rsidRPr="003D0724" w:rsidRDefault="00F06BBF">
    <w:pPr>
      <w:pStyle w:val="Footer"/>
      <w:ind w:right="360"/>
      <w:rPr>
        <w:lang w:val="en-GB"/>
      </w:rPr>
    </w:pPr>
    <w:r>
      <w:rPr>
        <w:rStyle w:val="PageNumber"/>
        <w:rFonts w:ascii="Verdana" w:hAnsi="Verdana"/>
        <w:sz w:val="20"/>
        <w:szCs w:val="20"/>
        <w:lang w:val="en-US"/>
      </w:rPr>
      <w:t>Form for “</w:t>
    </w:r>
    <w:r>
      <w:rPr>
        <w:rStyle w:val="PageNumber"/>
        <w:rFonts w:ascii="Verdana" w:hAnsi="Verdana"/>
        <w:i/>
        <w:iCs/>
        <w:sz w:val="20"/>
        <w:szCs w:val="20"/>
        <w:lang w:val="en-US"/>
      </w:rPr>
      <w:t>Statutory report on foundation governance</w:t>
    </w:r>
    <w:r>
      <w:rPr>
        <w:rStyle w:val="PageNumber"/>
        <w:rFonts w:ascii="Verdana" w:hAnsi="Verdana"/>
        <w:sz w:val="20"/>
        <w:szCs w:val="20"/>
        <w:lang w:val="en-US"/>
      </w:rPr>
      <w:t xml:space="preserve">”, cf. section 77a of the Financial Statements Act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02A" w:rsidRDefault="008A202A">
      <w:r>
        <w:separator/>
      </w:r>
    </w:p>
  </w:footnote>
  <w:footnote w:type="continuationSeparator" w:id="0">
    <w:p w:rsidR="008A202A" w:rsidRDefault="008A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D38" w:rsidRDefault="00984D38">
    <w:pPr>
      <w:pStyle w:val="Sidehovedsidefo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C3FA8"/>
    <w:multiLevelType w:val="hybridMultilevel"/>
    <w:tmpl w:val="83A02CF4"/>
    <w:lvl w:ilvl="0" w:tplc="19A2DC9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C1416D0">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24A78A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6C0D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BD2F846">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E61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E62AB6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E2B92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E2860D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3F4821"/>
    <w:multiLevelType w:val="hybridMultilevel"/>
    <w:tmpl w:val="A4AAAEB2"/>
    <w:lvl w:ilvl="0" w:tplc="59A22B8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431A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5D07A6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B2480B4">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9E0F3F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038948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76E74C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45E4544">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EE8A3BE">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38"/>
    <w:rsid w:val="003D0724"/>
    <w:rsid w:val="0041241E"/>
    <w:rsid w:val="00510AF5"/>
    <w:rsid w:val="008A202A"/>
    <w:rsid w:val="00984D38"/>
    <w:rsid w:val="00C7174D"/>
    <w:rsid w:val="00DD6F50"/>
    <w:rsid w:val="00EA641A"/>
    <w:rsid w:val="00F06BBF"/>
    <w:rsid w:val="00F1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4AC4"/>
  <w15:docId w15:val="{7F66F1BE-7862-434C-9355-8EF83795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Footer">
    <w:name w:val="footer"/>
    <w:pPr>
      <w:tabs>
        <w:tab w:val="center" w:pos="4819"/>
        <w:tab w:val="right" w:pos="9638"/>
      </w:tabs>
    </w:pPr>
    <w:rPr>
      <w:rFonts w:ascii="Arial" w:hAnsi="Arial" w:cs="Arial Unicode MS"/>
      <w:color w:val="000000"/>
      <w:sz w:val="24"/>
      <w:szCs w:val="24"/>
      <w:u w:color="000000"/>
      <w:lang w:val="da-DK"/>
    </w:rPr>
  </w:style>
  <w:style w:type="character" w:styleId="PageNumber">
    <w:name w:val="page number"/>
  </w:style>
  <w:style w:type="paragraph" w:customStyle="1" w:styleId="Brdtekst">
    <w:name w:val="Brødtekst"/>
    <w:rPr>
      <w:rFonts w:ascii="Arial" w:eastAsia="Arial" w:hAnsi="Arial" w:cs="Arial"/>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u w:val="single" w:color="0000FF"/>
      <w:lang w:val="en-US"/>
    </w:rPr>
  </w:style>
  <w:style w:type="paragraph" w:styleId="BodyText">
    <w:name w:val="Body Text"/>
    <w:pPr>
      <w:spacing w:line="280" w:lineRule="exact"/>
      <w:jc w:val="both"/>
    </w:pPr>
    <w:rPr>
      <w:rFonts w:cs="Arial Unicode MS"/>
      <w:color w:val="000000"/>
      <w:spacing w:val="2"/>
      <w:sz w:val="24"/>
      <w:szCs w:val="24"/>
      <w:u w:color="000000"/>
      <w:lang w:val="en-US"/>
    </w:rPr>
  </w:style>
  <w:style w:type="paragraph" w:styleId="NormalWeb">
    <w:name w:val="Normal (Web)"/>
    <w:pPr>
      <w:spacing w:before="100" w:after="100"/>
    </w:pPr>
    <w:rPr>
      <w:rFonts w:cs="Arial Unicode MS"/>
      <w:color w:val="000000"/>
      <w:sz w:val="24"/>
      <w:szCs w:val="24"/>
      <w:u w:color="00000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dfondsledels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Meyer</dc:creator>
  <cp:lastModifiedBy>Charlotte Meyer</cp:lastModifiedBy>
  <cp:revision>2</cp:revision>
  <dcterms:created xsi:type="dcterms:W3CDTF">2020-02-28T16:45:00Z</dcterms:created>
  <dcterms:modified xsi:type="dcterms:W3CDTF">2020-02-28T16:45:00Z</dcterms:modified>
</cp:coreProperties>
</file>