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E2" w:rsidRDefault="00991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Guidance for Determining the Number of </w:t>
      </w:r>
      <w:proofErr w:type="spellStart"/>
      <w:r>
        <w:rPr>
          <w:b/>
          <w:sz w:val="28"/>
          <w:szCs w:val="28"/>
        </w:rPr>
        <w:t>DuraShield</w:t>
      </w:r>
      <w:proofErr w:type="spellEnd"/>
      <w:r>
        <w:rPr>
          <w:b/>
          <w:sz w:val="28"/>
          <w:szCs w:val="28"/>
        </w:rPr>
        <w:t xml:space="preserve"> Layers </w:t>
      </w:r>
    </w:p>
    <w:p w:rsidR="00E96DE2" w:rsidRDefault="009916F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for</w:t>
      </w:r>
      <w:proofErr w:type="gramEnd"/>
      <w:r>
        <w:rPr>
          <w:b/>
          <w:sz w:val="28"/>
          <w:szCs w:val="28"/>
        </w:rPr>
        <w:t xml:space="preserve"> 5 Year Performance Warranty</w:t>
      </w:r>
    </w:p>
    <w:p w:rsidR="00E96DE2" w:rsidRDefault="00E96DE2">
      <w:pPr>
        <w:jc w:val="center"/>
        <w:rPr>
          <w:b/>
          <w:sz w:val="28"/>
          <w:szCs w:val="28"/>
        </w:rPr>
      </w:pPr>
    </w:p>
    <w:p w:rsidR="00E96DE2" w:rsidRDefault="00E96DE2"/>
    <w:p w:rsidR="00E96DE2" w:rsidRDefault="009916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Appendix A</w:t>
      </w:r>
    </w:p>
    <w:p w:rsidR="00E96DE2" w:rsidRDefault="009916F6">
      <w:pPr>
        <w:jc w:val="center"/>
      </w:pPr>
      <w:r>
        <w:rPr>
          <w:b/>
        </w:rPr>
        <w:t>Guidance for Estimating Traffic Counts</w:t>
      </w:r>
    </w:p>
    <w:p w:rsidR="00E96DE2" w:rsidRDefault="00E96DE2"/>
    <w:p w:rsidR="00E96DE2" w:rsidRDefault="009916F6">
      <w:r>
        <w:t>Best case is to get traffic counts from the end customer.  In the absence of this data the following can be used as guidance:</w:t>
      </w:r>
    </w:p>
    <w:p w:rsidR="00E96DE2" w:rsidRDefault="00E96DE2"/>
    <w:p w:rsidR="00E96DE2" w:rsidRDefault="00E96DE2"/>
    <w:p w:rsidR="00E96DE2" w:rsidRDefault="009916F6">
      <w:pPr>
        <w:numPr>
          <w:ilvl w:val="0"/>
          <w:numId w:val="3"/>
        </w:numPr>
        <w:ind w:left="360"/>
      </w:pPr>
      <w:r>
        <w:rPr>
          <w:u w:val="single"/>
        </w:rPr>
        <w:t>Big Box Home Improvement Retail</w:t>
      </w:r>
    </w:p>
    <w:p w:rsidR="00E96DE2" w:rsidRDefault="00E96DE2"/>
    <w:p w:rsidR="00E96DE2" w:rsidRDefault="009916F6">
      <w:r>
        <w:t>Home Depot has about 4.5 mm transactions per day and 2286 stores or 1,942 transactions/day.</w:t>
      </w:r>
    </w:p>
    <w:p w:rsidR="00E96DE2" w:rsidRDefault="009916F6">
      <w:r>
        <w:t>Low</w:t>
      </w:r>
      <w:r>
        <w:t>es has about 2.6 million transactions per day and 2002 stores or 1,299 transactions per day.</w:t>
      </w:r>
    </w:p>
    <w:p w:rsidR="00E96DE2" w:rsidRDefault="00E96DE2"/>
    <w:p w:rsidR="00E96DE2" w:rsidRDefault="009916F6">
      <w:r>
        <w:t xml:space="preserve">The Phoenix Lowes example project is 250,000 ft2.  Using 2,000 cars per day across 250,000 </w:t>
      </w:r>
      <w:proofErr w:type="gramStart"/>
      <w:r>
        <w:t>square</w:t>
      </w:r>
      <w:proofErr w:type="gramEnd"/>
      <w:r>
        <w:t xml:space="preserve"> foot parking lot results in:</w:t>
      </w:r>
    </w:p>
    <w:p w:rsidR="00E96DE2" w:rsidRDefault="00E96DE2"/>
    <w:p w:rsidR="00E96DE2" w:rsidRDefault="009916F6">
      <w:pPr>
        <w:ind w:left="720"/>
        <w:rPr>
          <w:b/>
        </w:rPr>
      </w:pPr>
      <w:r>
        <w:rPr>
          <w:b/>
        </w:rPr>
        <w:t>Big Box home improvement guideline</w:t>
      </w:r>
      <w:r>
        <w:rPr>
          <w:b/>
        </w:rPr>
        <w:t xml:space="preserve"> - one car per day per 125 ft2</w:t>
      </w:r>
    </w:p>
    <w:p w:rsidR="00E96DE2" w:rsidRDefault="00E96DE2"/>
    <w:p w:rsidR="00E96DE2" w:rsidRDefault="009916F6">
      <w:r>
        <w:t>The example Lowes Phoenix store has 3 main entrances and 9 minor entrances.  Estimate ⅓ of traffic to minor entrances and ⅔ of traffic to main entrances, evenly divided.  This means (2,000/3)/9 or 75 cars per day for the min</w:t>
      </w:r>
      <w:r>
        <w:t>or entrances and ((2,000/3</w:t>
      </w:r>
      <w:proofErr w:type="gramStart"/>
      <w:r>
        <w:t>)x2</w:t>
      </w:r>
      <w:proofErr w:type="gramEnd"/>
      <w:r>
        <w:t>)/3 or 444 cars per day for the main entrances.</w:t>
      </w:r>
    </w:p>
    <w:p w:rsidR="00E96DE2" w:rsidRDefault="00E96DE2"/>
    <w:p w:rsidR="00E96DE2" w:rsidRDefault="009916F6">
      <w:r>
        <w:t>A more normal situation probably has just the 3 main entrances so the count would be about 700 per entrance.</w:t>
      </w:r>
    </w:p>
    <w:p w:rsidR="00E96DE2" w:rsidRDefault="00E96DE2"/>
    <w:p w:rsidR="00E96DE2" w:rsidRDefault="009916F6">
      <w:pPr>
        <w:numPr>
          <w:ilvl w:val="0"/>
          <w:numId w:val="5"/>
        </w:numPr>
        <w:ind w:left="360"/>
      </w:pPr>
      <w:r>
        <w:rPr>
          <w:u w:val="single"/>
        </w:rPr>
        <w:t>Food Supermarket Retail</w:t>
      </w:r>
    </w:p>
    <w:p w:rsidR="00E96DE2" w:rsidRDefault="00E96DE2">
      <w:pPr>
        <w:rPr>
          <w:u w:val="single"/>
        </w:rPr>
      </w:pPr>
    </w:p>
    <w:p w:rsidR="00E96DE2" w:rsidRDefault="009916F6">
      <w:r>
        <w:t>Per Food Marketing Institute</w:t>
      </w:r>
    </w:p>
    <w:p w:rsidR="00E96DE2" w:rsidRDefault="00E96DE2"/>
    <w:p w:rsidR="00E96DE2" w:rsidRDefault="009916F6">
      <w:pPr>
        <w:numPr>
          <w:ilvl w:val="0"/>
          <w:numId w:val="4"/>
        </w:numPr>
      </w:pPr>
      <w:r>
        <w:t xml:space="preserve">there are 38,000 grocery stores with revenue over $2 million/year and </w:t>
      </w:r>
    </w:p>
    <w:p w:rsidR="00E96DE2" w:rsidRDefault="009916F6">
      <w:pPr>
        <w:numPr>
          <w:ilvl w:val="0"/>
          <w:numId w:val="4"/>
        </w:numPr>
      </w:pPr>
      <w:proofErr w:type="gramStart"/>
      <w:r>
        <w:t>there</w:t>
      </w:r>
      <w:proofErr w:type="gramEnd"/>
      <w:r>
        <w:t xml:space="preserve"> is a range of 29 million to 42 million shoppers per day depending on the day of the week (say average is 35 million/day).  </w:t>
      </w:r>
    </w:p>
    <w:p w:rsidR="00E96DE2" w:rsidRDefault="009916F6">
      <w:pPr>
        <w:numPr>
          <w:ilvl w:val="0"/>
          <w:numId w:val="4"/>
        </w:numPr>
      </w:pPr>
      <w:r>
        <w:t>the average visit is 41 minutes</w:t>
      </w:r>
    </w:p>
    <w:p w:rsidR="00E96DE2" w:rsidRDefault="009916F6">
      <w:pPr>
        <w:numPr>
          <w:ilvl w:val="0"/>
          <w:numId w:val="4"/>
        </w:numPr>
      </w:pPr>
      <w:proofErr w:type="gramStart"/>
      <w:r>
        <w:t>average</w:t>
      </w:r>
      <w:proofErr w:type="gramEnd"/>
      <w:r>
        <w:t xml:space="preserve"> transaction siz</w:t>
      </w:r>
      <w:r>
        <w:t xml:space="preserve">e in 2016 was $30.02 (Note: The estimate for Big Box stores was $89). </w:t>
      </w:r>
    </w:p>
    <w:p w:rsidR="00E96DE2" w:rsidRDefault="00E96DE2"/>
    <w:p w:rsidR="00E96DE2" w:rsidRDefault="009916F6">
      <w:r>
        <w:t xml:space="preserve">Per Time magazine the average grocery supermarket is 56,500 ft2.  Ingles Store #7 is about 45,000 ft2 and has a parking lot of about 165,000 ft2 including the Gas Bar area.  </w:t>
      </w:r>
    </w:p>
    <w:p w:rsidR="00E96DE2" w:rsidRDefault="00E96DE2"/>
    <w:p w:rsidR="00E96DE2" w:rsidRDefault="009916F6">
      <w:r>
        <w:t>35 milli</w:t>
      </w:r>
      <w:r>
        <w:t>on/38,000 is an average of 920 shoppers per day per store.</w:t>
      </w:r>
    </w:p>
    <w:p w:rsidR="00E96DE2" w:rsidRDefault="00E96DE2"/>
    <w:p w:rsidR="00E96DE2" w:rsidRDefault="009916F6">
      <w:r>
        <w:t>Ingles 2018 annual revenue $4.1 billion over 212 stores or about $19 million per store.  Using $31.20 per transaction to allow for inflation versus 2016 average transaction size, this results in a</w:t>
      </w:r>
      <w:r>
        <w:t xml:space="preserve">n average of 1668 transactions per day.  Per Ingles annual report they have 11.2 million ft2 for $4.1 billion revenue or $1 per ft2 per day. </w:t>
      </w:r>
    </w:p>
    <w:p w:rsidR="00E96DE2" w:rsidRDefault="00E96DE2"/>
    <w:p w:rsidR="00E96DE2" w:rsidRDefault="009916F6">
      <w:pPr>
        <w:ind w:left="720"/>
        <w:rPr>
          <w:b/>
        </w:rPr>
      </w:pPr>
      <w:r>
        <w:rPr>
          <w:b/>
        </w:rPr>
        <w:t>For Food supermarkets with a Gas Bar this translates to 1 car per day per 100 square feet of parking lot.</w:t>
      </w:r>
    </w:p>
    <w:p w:rsidR="00E96DE2" w:rsidRDefault="00E96DE2">
      <w:pPr>
        <w:ind w:left="720"/>
        <w:rPr>
          <w:b/>
        </w:rPr>
      </w:pPr>
    </w:p>
    <w:p w:rsidR="00E96DE2" w:rsidRDefault="009916F6">
      <w:pPr>
        <w:ind w:left="720"/>
        <w:rPr>
          <w:b/>
        </w:rPr>
      </w:pPr>
      <w:r>
        <w:rPr>
          <w:b/>
        </w:rPr>
        <w:t>For Fo</w:t>
      </w:r>
      <w:r>
        <w:rPr>
          <w:b/>
        </w:rPr>
        <w:t xml:space="preserve">od supermarkets without a Gas Bar this translates to about 1 car per day per 90 square feet of parking lot. </w:t>
      </w:r>
    </w:p>
    <w:p w:rsidR="00E96DE2" w:rsidRDefault="00E96DE2"/>
    <w:p w:rsidR="00E96DE2" w:rsidRDefault="00E96DE2"/>
    <w:p w:rsidR="00E96DE2" w:rsidRDefault="009916F6">
      <w:pPr>
        <w:rPr>
          <w:b/>
        </w:rPr>
      </w:pPr>
      <w:r>
        <w:rPr>
          <w:b/>
        </w:rPr>
        <w:t>Additional guidance</w:t>
      </w:r>
    </w:p>
    <w:p w:rsidR="00E96DE2" w:rsidRDefault="00E96DE2"/>
    <w:p w:rsidR="00E96DE2" w:rsidRDefault="009916F6">
      <w:r>
        <w:t>Consider areas with turning truck traffic as having the highest traffic level.</w:t>
      </w:r>
    </w:p>
    <w:p w:rsidR="00E96DE2" w:rsidRDefault="00E96DE2"/>
    <w:p w:rsidR="00E96DE2" w:rsidRDefault="00E96DE2"/>
    <w:p w:rsidR="00E96DE2" w:rsidRDefault="009916F6">
      <w:pPr>
        <w:numPr>
          <w:ilvl w:val="0"/>
          <w:numId w:val="5"/>
        </w:numPr>
        <w:ind w:left="360"/>
      </w:pPr>
      <w:r>
        <w:rPr>
          <w:u w:val="single"/>
        </w:rPr>
        <w:t>Office</w:t>
      </w:r>
    </w:p>
    <w:p w:rsidR="00E96DE2" w:rsidRDefault="00E96DE2">
      <w:pPr>
        <w:rPr>
          <w:u w:val="single"/>
        </w:rPr>
      </w:pPr>
    </w:p>
    <w:p w:rsidR="00E96DE2" w:rsidRDefault="009916F6">
      <w:r>
        <w:t>Assumption is that users are arrivi</w:t>
      </w:r>
      <w:r>
        <w:t>ng and departing once per day.</w:t>
      </w:r>
    </w:p>
    <w:p w:rsidR="00E96DE2" w:rsidRDefault="00E96DE2">
      <w:pPr>
        <w:rPr>
          <w:u w:val="single"/>
        </w:rPr>
      </w:pPr>
    </w:p>
    <w:p w:rsidR="00E96DE2" w:rsidRDefault="009916F6">
      <w:pPr>
        <w:ind w:firstLine="720"/>
        <w:rPr>
          <w:b/>
        </w:rPr>
      </w:pPr>
      <w:r>
        <w:rPr>
          <w:b/>
        </w:rPr>
        <w:t>Assume one car per day per parking stall</w:t>
      </w:r>
    </w:p>
    <w:p w:rsidR="00E96DE2" w:rsidRDefault="00E96DE2"/>
    <w:p w:rsidR="00E96DE2" w:rsidRDefault="009916F6">
      <w:r>
        <w:br w:type="page"/>
      </w:r>
    </w:p>
    <w:p w:rsidR="00E96DE2" w:rsidRDefault="00E96DE2"/>
    <w:p w:rsidR="00E96DE2" w:rsidRDefault="009916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Appendix B</w:t>
      </w:r>
    </w:p>
    <w:p w:rsidR="00E96DE2" w:rsidRDefault="009916F6">
      <w:pPr>
        <w:jc w:val="center"/>
        <w:rPr>
          <w:b/>
        </w:rPr>
      </w:pPr>
      <w:r>
        <w:rPr>
          <w:b/>
        </w:rPr>
        <w:t>Background for Specification of Coating Plan</w:t>
      </w:r>
    </w:p>
    <w:p w:rsidR="00E96DE2" w:rsidRDefault="00E96DE2"/>
    <w:p w:rsidR="00E96DE2" w:rsidRDefault="00E96DE2"/>
    <w:p w:rsidR="00E96DE2" w:rsidRDefault="009916F6">
      <w:r>
        <w:t>Field review of 5 year old projects resulted in the following conclusions for maximum traffic counts in 3 climate zones:</w:t>
      </w:r>
    </w:p>
    <w:p w:rsidR="00E96DE2" w:rsidRDefault="009916F6">
      <w:r>
        <w:t xml:space="preserve"> </w:t>
      </w:r>
    </w:p>
    <w:p w:rsidR="00E96DE2" w:rsidRDefault="009916F6">
      <w:r>
        <w:t>Turning areas:</w:t>
      </w:r>
    </w:p>
    <w:p w:rsidR="00E96DE2" w:rsidRDefault="009916F6">
      <w:pPr>
        <w:numPr>
          <w:ilvl w:val="0"/>
          <w:numId w:val="1"/>
        </w:numPr>
      </w:pPr>
      <w:r>
        <w:t>Toronto - 500 vehicles per day per lane for 24 mils of SB150</w:t>
      </w:r>
    </w:p>
    <w:p w:rsidR="00E96DE2" w:rsidRDefault="009916F6">
      <w:pPr>
        <w:numPr>
          <w:ilvl w:val="0"/>
          <w:numId w:val="1"/>
        </w:numPr>
      </w:pPr>
      <w:r>
        <w:t>Washington, DC - 1500 vehicles per day per lane for 24 mils of SB150</w:t>
      </w:r>
    </w:p>
    <w:p w:rsidR="00E96DE2" w:rsidRDefault="009916F6">
      <w:pPr>
        <w:numPr>
          <w:ilvl w:val="0"/>
          <w:numId w:val="1"/>
        </w:numPr>
      </w:pPr>
      <w:r>
        <w:t>Phoenix - 2500 vehicles per day per lane for 24 mils of SB150</w:t>
      </w:r>
    </w:p>
    <w:p w:rsidR="00E96DE2" w:rsidRDefault="00E96DE2"/>
    <w:p w:rsidR="00E96DE2" w:rsidRDefault="009916F6">
      <w:r>
        <w:t xml:space="preserve">For calculations using these counts assume one layer of DS2 (14 mils) provides the equivalent of 8 mils of SB150. This means 2 additional passes of DS2 @ 65 ft2 per gallon or 2 additional passes of SB150 at 115 ft2 per gallon per pass would be required to </w:t>
      </w:r>
      <w:r>
        <w:t>reach the equivalent of 24 mils of SB150.</w:t>
      </w:r>
    </w:p>
    <w:p w:rsidR="00E96DE2" w:rsidRDefault="00E96DE2"/>
    <w:p w:rsidR="002304C5" w:rsidRDefault="009916F6">
      <w:r>
        <w:t>Using the above as reference</w:t>
      </w:r>
      <w:r w:rsidR="002304C5">
        <w:t>:</w:t>
      </w:r>
    </w:p>
    <w:p w:rsidR="002304C5" w:rsidRDefault="002304C5"/>
    <w:p w:rsidR="00E96DE2" w:rsidRPr="002304C5" w:rsidRDefault="009916F6" w:rsidP="002304C5">
      <w:pPr>
        <w:ind w:left="720"/>
        <w:rPr>
          <w:b/>
        </w:rPr>
      </w:pPr>
      <w:r w:rsidRPr="002304C5">
        <w:rPr>
          <w:b/>
        </w:rPr>
        <w:t xml:space="preserve">1 layer of DS2 at 65 ft2/gallon would be good for </w:t>
      </w:r>
    </w:p>
    <w:p w:rsidR="00E96DE2" w:rsidRPr="002304C5" w:rsidRDefault="009916F6" w:rsidP="002304C5">
      <w:pPr>
        <w:numPr>
          <w:ilvl w:val="0"/>
          <w:numId w:val="2"/>
        </w:numPr>
        <w:ind w:left="1440"/>
        <w:rPr>
          <w:b/>
        </w:rPr>
      </w:pPr>
      <w:r w:rsidRPr="002304C5">
        <w:rPr>
          <w:b/>
        </w:rPr>
        <w:t>175 cars per day in Toronto</w:t>
      </w:r>
    </w:p>
    <w:p w:rsidR="00E96DE2" w:rsidRPr="002304C5" w:rsidRDefault="009916F6" w:rsidP="002304C5">
      <w:pPr>
        <w:numPr>
          <w:ilvl w:val="0"/>
          <w:numId w:val="2"/>
        </w:numPr>
        <w:ind w:left="1440"/>
        <w:rPr>
          <w:b/>
        </w:rPr>
      </w:pPr>
      <w:r w:rsidRPr="002304C5">
        <w:rPr>
          <w:b/>
        </w:rPr>
        <w:t>500 cars per day in Washington, DC</w:t>
      </w:r>
    </w:p>
    <w:p w:rsidR="00E96DE2" w:rsidRPr="002304C5" w:rsidRDefault="009916F6" w:rsidP="002304C5">
      <w:pPr>
        <w:numPr>
          <w:ilvl w:val="0"/>
          <w:numId w:val="2"/>
        </w:numPr>
        <w:ind w:left="1440"/>
        <w:rPr>
          <w:b/>
        </w:rPr>
      </w:pPr>
      <w:r w:rsidRPr="002304C5">
        <w:rPr>
          <w:b/>
        </w:rPr>
        <w:t>800 cars per day in Phoenix</w:t>
      </w:r>
    </w:p>
    <w:p w:rsidR="00E96DE2" w:rsidRDefault="00E96DE2">
      <w:pPr>
        <w:rPr>
          <w:b/>
        </w:rPr>
      </w:pPr>
    </w:p>
    <w:p w:rsidR="00E96DE2" w:rsidRDefault="00E96DE2">
      <w:pPr>
        <w:rPr>
          <w:b/>
        </w:rPr>
      </w:pPr>
    </w:p>
    <w:p w:rsidR="00E96DE2" w:rsidRDefault="00E96DE2">
      <w:pPr>
        <w:rPr>
          <w:b/>
        </w:rPr>
      </w:pPr>
    </w:p>
    <w:p w:rsidR="00E96DE2" w:rsidRDefault="009916F6">
      <w:pPr>
        <w:rPr>
          <w:b/>
        </w:rPr>
      </w:pPr>
      <w:r>
        <w:br w:type="page"/>
      </w:r>
      <w:bookmarkStart w:id="0" w:name="_GoBack"/>
      <w:bookmarkEnd w:id="0"/>
    </w:p>
    <w:p w:rsidR="00E96DE2" w:rsidRDefault="00E96DE2">
      <w:pPr>
        <w:rPr>
          <w:b/>
        </w:rPr>
      </w:pPr>
    </w:p>
    <w:p w:rsidR="00E96DE2" w:rsidRDefault="009916F6">
      <w:pPr>
        <w:rPr>
          <w:b/>
        </w:rPr>
      </w:pPr>
      <w:r>
        <w:rPr>
          <w:b/>
        </w:rPr>
        <w:t>From specification document:</w:t>
      </w:r>
    </w:p>
    <w:p w:rsidR="00E96DE2" w:rsidRDefault="00E96DE2">
      <w:pPr>
        <w:rPr>
          <w:b/>
        </w:rPr>
      </w:pPr>
    </w:p>
    <w:p w:rsidR="00E96DE2" w:rsidRDefault="009916F6">
      <w:pPr>
        <w:rPr>
          <w:b/>
        </w:rPr>
      </w:pPr>
      <w:r>
        <w:rPr>
          <w:b/>
        </w:rPr>
        <w:t>TABLE 5: Recommended Coating Coverage Rates</w:t>
      </w:r>
    </w:p>
    <w:p w:rsidR="00E96DE2" w:rsidRDefault="00E96DE2">
      <w:pPr>
        <w:rPr>
          <w:b/>
        </w:rPr>
      </w:pPr>
    </w:p>
    <w:tbl>
      <w:tblPr>
        <w:tblStyle w:val="a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3120"/>
        <w:gridCol w:w="3270"/>
      </w:tblGrid>
      <w:tr w:rsidR="00E96DE2">
        <w:trPr>
          <w:trHeight w:val="440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DE2" w:rsidRDefault="009916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DE2" w:rsidRDefault="009916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Hot Dry Climate</w:t>
            </w:r>
          </w:p>
        </w:tc>
        <w:tc>
          <w:tcPr>
            <w:tcW w:w="3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DE2" w:rsidRDefault="009916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Temperate/Winter Climate</w:t>
            </w:r>
          </w:p>
        </w:tc>
      </w:tr>
      <w:tr w:rsidR="00E96DE2">
        <w:trPr>
          <w:trHeight w:val="500"/>
        </w:trPr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DE2" w:rsidRDefault="009916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Application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DE2" w:rsidRDefault="009916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DE2" w:rsidRDefault="009916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96DE2">
        <w:trPr>
          <w:trHeight w:val="1260"/>
        </w:trPr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DE2" w:rsidRDefault="009916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 to 500 cars per day per lane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DE2" w:rsidRDefault="00991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layers at 600 ft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(56m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) per 5 gallon (20 </w:t>
            </w:r>
            <w:proofErr w:type="spellStart"/>
            <w:r>
              <w:rPr>
                <w:sz w:val="20"/>
                <w:szCs w:val="20"/>
              </w:rPr>
              <w:t>Litre</w:t>
            </w:r>
            <w:proofErr w:type="spellEnd"/>
            <w:r>
              <w:rPr>
                <w:sz w:val="20"/>
                <w:szCs w:val="20"/>
              </w:rPr>
              <w:t>) unit for a net coverage of 150 ft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(13.9m2) per 5 gallon (20 </w:t>
            </w:r>
            <w:proofErr w:type="spellStart"/>
            <w:r>
              <w:rPr>
                <w:sz w:val="20"/>
                <w:szCs w:val="20"/>
              </w:rPr>
              <w:t>Litre</w:t>
            </w:r>
            <w:proofErr w:type="spellEnd"/>
            <w:r>
              <w:rPr>
                <w:sz w:val="20"/>
                <w:szCs w:val="20"/>
              </w:rPr>
              <w:t>) unit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DE2" w:rsidRDefault="009916F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layers at 600 ft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(56m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) per 5 gallon (20 </w:t>
            </w:r>
            <w:proofErr w:type="spellStart"/>
            <w:r>
              <w:rPr>
                <w:sz w:val="20"/>
                <w:szCs w:val="20"/>
              </w:rPr>
              <w:t>Litre</w:t>
            </w:r>
            <w:proofErr w:type="spellEnd"/>
            <w:r>
              <w:rPr>
                <w:sz w:val="20"/>
                <w:szCs w:val="20"/>
              </w:rPr>
              <w:t>) unit for a net coverage of 150 ft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(13.9m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) per 5 gallon (20 </w:t>
            </w:r>
            <w:proofErr w:type="spellStart"/>
            <w:r>
              <w:rPr>
                <w:sz w:val="20"/>
                <w:szCs w:val="20"/>
              </w:rPr>
              <w:t>Litre</w:t>
            </w:r>
            <w:proofErr w:type="spellEnd"/>
            <w:r>
              <w:rPr>
                <w:sz w:val="20"/>
                <w:szCs w:val="20"/>
              </w:rPr>
              <w:t>) unit</w:t>
            </w:r>
          </w:p>
        </w:tc>
      </w:tr>
      <w:tr w:rsidR="00E96DE2">
        <w:trPr>
          <w:trHeight w:val="1500"/>
        </w:trPr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DE2" w:rsidRDefault="009916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 to 1000 cars per day per lane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DE2" w:rsidRDefault="00991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layers at 600 ft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(56m2) per 5 gallon (20 </w:t>
            </w:r>
            <w:proofErr w:type="spellStart"/>
            <w:r>
              <w:rPr>
                <w:sz w:val="20"/>
                <w:szCs w:val="20"/>
              </w:rPr>
              <w:t>Litre</w:t>
            </w:r>
            <w:proofErr w:type="spellEnd"/>
            <w:r>
              <w:rPr>
                <w:sz w:val="20"/>
                <w:szCs w:val="20"/>
              </w:rPr>
              <w:t>) unit for a net coverage of 150 ft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(13.9m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) per 5 gallon (20 </w:t>
            </w:r>
            <w:proofErr w:type="spellStart"/>
            <w:r>
              <w:rPr>
                <w:sz w:val="20"/>
                <w:szCs w:val="20"/>
              </w:rPr>
              <w:t>Litre</w:t>
            </w:r>
            <w:proofErr w:type="spellEnd"/>
            <w:r>
              <w:rPr>
                <w:sz w:val="20"/>
                <w:szCs w:val="20"/>
              </w:rPr>
              <w:t>) unit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DE2" w:rsidRDefault="009916F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layers at 600 ft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(56m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) per 5 gallon (20 </w:t>
            </w:r>
            <w:proofErr w:type="spellStart"/>
            <w:r>
              <w:rPr>
                <w:sz w:val="20"/>
                <w:szCs w:val="20"/>
              </w:rPr>
              <w:t>Litre</w:t>
            </w:r>
            <w:proofErr w:type="spellEnd"/>
            <w:r>
              <w:rPr>
                <w:sz w:val="20"/>
                <w:szCs w:val="20"/>
              </w:rPr>
              <w:t>) unit for a net coverage of 150 ft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(13.9m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) per 5 gallon (20 </w:t>
            </w:r>
            <w:proofErr w:type="spellStart"/>
            <w:r>
              <w:rPr>
                <w:sz w:val="20"/>
                <w:szCs w:val="20"/>
              </w:rPr>
              <w:t>Litre</w:t>
            </w:r>
            <w:proofErr w:type="spellEnd"/>
            <w:r>
              <w:rPr>
                <w:sz w:val="20"/>
                <w:szCs w:val="20"/>
              </w:rPr>
              <w:t xml:space="preserve">) unit, plus one additional layer </w:t>
            </w:r>
            <w:r>
              <w:rPr>
                <w:sz w:val="20"/>
                <w:szCs w:val="20"/>
              </w:rPr>
              <w:t>in the wheel paths</w:t>
            </w:r>
          </w:p>
        </w:tc>
      </w:tr>
      <w:tr w:rsidR="00E96DE2">
        <w:trPr>
          <w:trHeight w:val="1740"/>
        </w:trPr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DE2" w:rsidRDefault="009916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 to 2000 cars per day per lane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DE2" w:rsidRDefault="00991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layers at 600 ft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(56m2) per 5 gallon (20 </w:t>
            </w:r>
            <w:proofErr w:type="spellStart"/>
            <w:r>
              <w:rPr>
                <w:sz w:val="20"/>
                <w:szCs w:val="20"/>
              </w:rPr>
              <w:t>Litre</w:t>
            </w:r>
            <w:proofErr w:type="spellEnd"/>
            <w:r>
              <w:rPr>
                <w:sz w:val="20"/>
                <w:szCs w:val="20"/>
              </w:rPr>
              <w:t>) unit for a net coverage of 150 ft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(13.9m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) per 5 gallon (20 </w:t>
            </w:r>
            <w:proofErr w:type="spellStart"/>
            <w:r>
              <w:rPr>
                <w:sz w:val="20"/>
                <w:szCs w:val="20"/>
              </w:rPr>
              <w:t>Litre</w:t>
            </w:r>
            <w:proofErr w:type="spellEnd"/>
            <w:r>
              <w:rPr>
                <w:sz w:val="20"/>
                <w:szCs w:val="20"/>
              </w:rPr>
              <w:t>) unit, plus one additional layer in the wheel paths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DE2" w:rsidRDefault="009916F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layers at 600 ft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(56m2) per 5 gallon (20 </w:t>
            </w:r>
            <w:proofErr w:type="spellStart"/>
            <w:r>
              <w:rPr>
                <w:sz w:val="20"/>
                <w:szCs w:val="20"/>
              </w:rPr>
              <w:t>Litre</w:t>
            </w:r>
            <w:proofErr w:type="spellEnd"/>
            <w:r>
              <w:rPr>
                <w:sz w:val="20"/>
                <w:szCs w:val="20"/>
              </w:rPr>
              <w:t>) unit for a net coverage of 150 ft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(13.9m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) per 5 gallon (20 </w:t>
            </w:r>
            <w:proofErr w:type="spellStart"/>
            <w:r>
              <w:rPr>
                <w:sz w:val="20"/>
                <w:szCs w:val="20"/>
              </w:rPr>
              <w:t>Litre</w:t>
            </w:r>
            <w:proofErr w:type="spellEnd"/>
            <w:r>
              <w:rPr>
                <w:sz w:val="20"/>
                <w:szCs w:val="20"/>
              </w:rPr>
              <w:t>) unit, plus two additional layers in the wheel paths</w:t>
            </w:r>
          </w:p>
        </w:tc>
      </w:tr>
      <w:tr w:rsidR="00E96DE2">
        <w:trPr>
          <w:trHeight w:val="1740"/>
        </w:trPr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DE2" w:rsidRDefault="009916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 to 3000 cars per day per lane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DE2" w:rsidRDefault="00991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passes at 600 ft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(56m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) per 5 gallon (20 </w:t>
            </w:r>
            <w:proofErr w:type="spellStart"/>
            <w:r>
              <w:rPr>
                <w:sz w:val="20"/>
                <w:szCs w:val="20"/>
              </w:rPr>
              <w:t>Litre</w:t>
            </w:r>
            <w:proofErr w:type="spellEnd"/>
            <w:r>
              <w:rPr>
                <w:sz w:val="20"/>
                <w:szCs w:val="20"/>
              </w:rPr>
              <w:t>) unit for a net coverage of 150 ft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(13.9m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) per 5 gallon (20 </w:t>
            </w:r>
            <w:proofErr w:type="spellStart"/>
            <w:r>
              <w:rPr>
                <w:sz w:val="20"/>
                <w:szCs w:val="20"/>
              </w:rPr>
              <w:t>Litre</w:t>
            </w:r>
            <w:proofErr w:type="spellEnd"/>
            <w:r>
              <w:rPr>
                <w:sz w:val="20"/>
                <w:szCs w:val="20"/>
              </w:rPr>
              <w:t>) unit, plus two additional layers in the wheel paths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DE2" w:rsidRDefault="009916F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warranty is provided for traffic levels above 2000 cars per day per lane</w:t>
            </w:r>
          </w:p>
        </w:tc>
      </w:tr>
      <w:tr w:rsidR="00E96DE2">
        <w:trPr>
          <w:trHeight w:val="920"/>
        </w:trPr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DE2" w:rsidRDefault="009916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DE2" w:rsidRDefault="009916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warranty is provided for tra</w:t>
            </w:r>
            <w:r>
              <w:rPr>
                <w:b/>
                <w:sz w:val="20"/>
                <w:szCs w:val="20"/>
              </w:rPr>
              <w:t>ffic levels above 3000 cars per day per lane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DE2" w:rsidRDefault="009916F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E96DE2" w:rsidRDefault="009916F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96DE2" w:rsidRDefault="009916F6">
      <w:pPr>
        <w:rPr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b/>
          <w:sz w:val="20"/>
          <w:szCs w:val="20"/>
        </w:rPr>
        <w:t>Additional layers</w:t>
      </w:r>
      <w:r>
        <w:rPr>
          <w:sz w:val="20"/>
          <w:szCs w:val="20"/>
        </w:rPr>
        <w:t xml:space="preserve"> of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StreetBond</w:t>
      </w:r>
      <w:proofErr w:type="spellEnd"/>
      <w:r>
        <w:rPr>
          <w:b/>
          <w:sz w:val="20"/>
          <w:szCs w:val="20"/>
        </w:rPr>
        <w:t xml:space="preserve">® SB150 </w:t>
      </w:r>
      <w:r>
        <w:rPr>
          <w:sz w:val="20"/>
          <w:szCs w:val="20"/>
        </w:rPr>
        <w:t>coatings may be used to provide additional build thickness in high wear areas such as vehicle wheel paths and turning areas.</w:t>
      </w:r>
    </w:p>
    <w:p w:rsidR="00E96DE2" w:rsidRDefault="009916F6">
      <w:pPr>
        <w:rPr>
          <w:sz w:val="20"/>
          <w:szCs w:val="20"/>
        </w:rPr>
      </w:pPr>
      <w:r>
        <w:rPr>
          <w:b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sz w:val="20"/>
          <w:szCs w:val="20"/>
        </w:rPr>
        <w:t>A maintenance program may be required for applications exposed to:</w:t>
      </w:r>
    </w:p>
    <w:p w:rsidR="00E96DE2" w:rsidRDefault="009916F6">
      <w:pPr>
        <w:rPr>
          <w:sz w:val="20"/>
          <w:szCs w:val="20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proofErr w:type="gramStart"/>
      <w:r>
        <w:rPr>
          <w:sz w:val="20"/>
          <w:szCs w:val="20"/>
        </w:rPr>
        <w:t>abrasive</w:t>
      </w:r>
      <w:proofErr w:type="gramEnd"/>
      <w:r>
        <w:rPr>
          <w:sz w:val="20"/>
          <w:szCs w:val="20"/>
        </w:rPr>
        <w:t xml:space="preserve"> materials (such as salt and sand)</w:t>
      </w:r>
    </w:p>
    <w:p w:rsidR="00E96DE2" w:rsidRDefault="009916F6">
      <w:pPr>
        <w:rPr>
          <w:sz w:val="20"/>
          <w:szCs w:val="20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proofErr w:type="gramStart"/>
      <w:r>
        <w:rPr>
          <w:sz w:val="20"/>
          <w:szCs w:val="20"/>
        </w:rPr>
        <w:t>abrasive</w:t>
      </w:r>
      <w:proofErr w:type="gramEnd"/>
      <w:r>
        <w:rPr>
          <w:sz w:val="20"/>
          <w:szCs w:val="20"/>
        </w:rPr>
        <w:t xml:space="preserve"> equipment (such as snow removal equipment)</w:t>
      </w:r>
    </w:p>
    <w:p w:rsidR="00E96DE2" w:rsidRDefault="009916F6" w:rsidP="002304C5">
      <w:pPr>
        <w:rPr>
          <w:b/>
          <w:sz w:val="28"/>
          <w:szCs w:val="28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sz w:val="20"/>
          <w:szCs w:val="20"/>
        </w:rPr>
        <w:t>Studded winter tires</w:t>
      </w:r>
    </w:p>
    <w:sectPr w:rsidR="00E96DE2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6F6" w:rsidRDefault="009916F6">
      <w:pPr>
        <w:spacing w:line="240" w:lineRule="auto"/>
      </w:pPr>
      <w:r>
        <w:separator/>
      </w:r>
    </w:p>
  </w:endnote>
  <w:endnote w:type="continuationSeparator" w:id="0">
    <w:p w:rsidR="009916F6" w:rsidRDefault="009916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6F6" w:rsidRDefault="009916F6">
      <w:pPr>
        <w:spacing w:line="240" w:lineRule="auto"/>
      </w:pPr>
      <w:r>
        <w:separator/>
      </w:r>
    </w:p>
  </w:footnote>
  <w:footnote w:type="continuationSeparator" w:id="0">
    <w:p w:rsidR="009916F6" w:rsidRDefault="009916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DE2" w:rsidRDefault="00E96D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77AC8"/>
    <w:multiLevelType w:val="multilevel"/>
    <w:tmpl w:val="31781B7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56777B6"/>
    <w:multiLevelType w:val="multilevel"/>
    <w:tmpl w:val="C75C98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4B046C"/>
    <w:multiLevelType w:val="multilevel"/>
    <w:tmpl w:val="B58099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67E6117"/>
    <w:multiLevelType w:val="multilevel"/>
    <w:tmpl w:val="E0188A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1063BE4"/>
    <w:multiLevelType w:val="multilevel"/>
    <w:tmpl w:val="9C3672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E2"/>
    <w:rsid w:val="002304C5"/>
    <w:rsid w:val="009916F6"/>
    <w:rsid w:val="00E9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8F1C99-546E-4494-9330-6DE5CD56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McCrady, Glen</cp:lastModifiedBy>
  <cp:revision>2</cp:revision>
  <dcterms:created xsi:type="dcterms:W3CDTF">2019-09-06T16:32:00Z</dcterms:created>
  <dcterms:modified xsi:type="dcterms:W3CDTF">2019-09-06T16:34:00Z</dcterms:modified>
</cp:coreProperties>
</file>