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909"/>
        <w:gridCol w:w="3285"/>
        <w:gridCol w:w="1051"/>
        <w:gridCol w:w="2234"/>
        <w:tblGridChange w:id="0">
          <w:tblGrid>
            <w:gridCol w:w="2376"/>
            <w:gridCol w:w="909"/>
            <w:gridCol w:w="3285"/>
            <w:gridCol w:w="1051"/>
            <w:gridCol w:w="2234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ELTHAM NORTH PRIMARY SCHOOL No 4212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POLICY MANUAL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POLICY NO.    1.15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TOPIC: CCTV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Page 1 of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PREAMBLE: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26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Eltham North PS has had graffiti attacks, damage to school buildings, thefts and broken windows in past years. </w:t>
            </w:r>
          </w:p>
          <w:p w:rsidR="00000000" w:rsidDel="00000000" w:rsidP="00000000" w:rsidRDefault="00000000" w:rsidRPr="00000000" w14:paraId="00000011">
            <w:pPr>
              <w:ind w:left="426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426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Eltham North PS has several security measures in place, including: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Presence of motion sensors and a security system linked to DET Emergency and Security management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system of security gates to reduce traffic through the school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80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number of CCTV security cameras</w:t>
            </w:r>
          </w:p>
          <w:p w:rsidR="00000000" w:rsidDel="00000000" w:rsidP="00000000" w:rsidRDefault="00000000" w:rsidRPr="00000000" w14:paraId="00000016">
            <w:pPr>
              <w:ind w:left="426" w:firstLine="0"/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PURPOSE: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1146" w:hanging="360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To address the issues of damage, ongoing costs and the loss of equipment, caused by graffiti, vandalism and thefts over time.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1146" w:hanging="360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To maintain the school environments and protect the school’s resources.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46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eliminate vandalism, theft, damage and destruction to school buildings, facilities, equipment and resources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46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assist in the identification of individuals responsible for such acts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46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act as a deterrent to individuals contemplating such acts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46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augment other additional security measures the school has in place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GUIDELINES FOR IMPLEMENTATION: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09" w:firstLine="0"/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CCTV information will not be stored or backed-up unless an incident has occurred which warrants doing so.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CCTV will be managed by the Principal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Surveillance images will be viewed by the Principal Class. Further access requires authority from the Principal.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Surveillance information will only be accessed if there is a reasonable belief that an incident has occurred and that the surveillance information may assist in identifying what has occurred and who may be involved.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Surveillance footage will be provided to the Victorian Police if requested to assist in investigations.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areas where cameras are located are clearly identified by warning signs with the message: “These premises are under constant video surveillance”.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school community will be notified of the use of CCTV through the Newsletter annually.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PARENTS 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Support the strategies put in place to create a supportive and productive school environment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DOCUMENTS IN SUPPORT OF THIS POLICY: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Program Leader: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David Foley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Issued on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Nov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Updated / Ratified by SC: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August 202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425"/>
      <w:jc w:val="both"/>
    </w:pPr>
    <w:rPr>
      <w:rFonts w:ascii="Times New Roman" w:cs="Times New Roman" w:eastAsia="Times New Roman" w:hAnsi="Times New Roman"/>
      <w:b w:val="1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Georgia" w:cs="Georgia" w:eastAsia="Georgia" w:hAnsi="Georgi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hAnsi="Georgia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425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u w:val="single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Georgia" w:hAnsi="Georgia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right="425" w:leftChars="-1" w:rightChars="0" w:firstLineChars="-1"/>
      <w:jc w:val="both"/>
      <w:textDirection w:val="btLr"/>
      <w:textAlignment w:val="top"/>
      <w:outlineLvl w:val="0"/>
    </w:pPr>
    <w:rPr>
      <w:rFonts w:ascii="Georgia" w:hAnsi="Georgia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right="425" w:leftChars="-1" w:rightChars="0" w:firstLineChars="-1"/>
      <w:textDirection w:val="btLr"/>
      <w:textAlignment w:val="top"/>
      <w:outlineLvl w:val="0"/>
    </w:pPr>
    <w:rPr>
      <w:rFonts w:ascii="Georgia" w:hAnsi="Georgia"/>
      <w:w w:val="100"/>
      <w:position w:val="-1"/>
      <w:sz w:val="20"/>
      <w:effect w:val="none"/>
      <w:vertAlign w:val="baseline"/>
      <w:cs w:val="0"/>
      <w:em w:val="none"/>
      <w:lang w:bidi="ar-SA" w:eastAsia="en-US" w:val="en-AU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AU" w:val="en-AU"/>
    </w:rPr>
  </w:style>
  <w:style w:type="paragraph" w:styleId="ColourfulList–Accent1">
    <w:name w:val="Colourful List – Accent 1"/>
    <w:basedOn w:val="Normal"/>
    <w:next w:val="ColourfulList–Accent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CyIw1zmg+tyrZqZ76/a763pBQ==">AMUW2mWXOjWDyaNHqMKV9zKwtrD3lmsNlYERKW8CL9mr4LIamQpol8XXKGqJSfGoQYjsAmjTy00VjM8EleKqAV0Dp+WdWRNCgInIgLp8CfEQIsHQc2+KV44=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2012-07-27T04:21:00Z</dcterms:created>
  <dc:creator>DEPARTMENT OF EDUCATION</dc:creator>
</cp:coreProperties>
</file>