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0540" w14:textId="77777777" w:rsidR="004210DD" w:rsidRPr="004210DD" w:rsidRDefault="004210DD" w:rsidP="0042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r w:rsidRPr="004210DD">
        <w:rPr>
          <w:rFonts w:ascii="Arial" w:eastAsia="Times New Roman" w:hAnsi="Arial" w:cs="Arial"/>
          <w:noProof/>
          <w:color w:val="474740"/>
          <w:sz w:val="24"/>
          <w:szCs w:val="24"/>
          <w:lang w:eastAsia="nl-NL"/>
        </w:rPr>
        <w:drawing>
          <wp:inline distT="0" distB="0" distL="0" distR="0" wp14:anchorId="4F9F8AA8" wp14:editId="0D32CD1C">
            <wp:extent cx="5669280" cy="3444763"/>
            <wp:effectExtent l="0" t="0" r="7620" b="3810"/>
            <wp:docPr id="2" name="Afbeelding 2" descr="Rose de Loire, Thibaud Boud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 de Loire, Thibaud Boudign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03" cy="34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2F35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Practicing</w:t>
      </w:r>
      <w:proofErr w:type="spellEnd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biodynamic</w:t>
      </w:r>
      <w:proofErr w:type="spellEnd"/>
    </w:p>
    <w:p w14:paraId="5289DE9E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90% Cabernet Franc, 10%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Grolleau</w:t>
      </w:r>
      <w:proofErr w:type="spellEnd"/>
    </w:p>
    <w:p w14:paraId="0E2E2F7D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25+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year</w:t>
      </w:r>
      <w:proofErr w:type="spellEnd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old</w:t>
      </w:r>
      <w:proofErr w:type="spellEnd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vines</w:t>
      </w:r>
      <w:proofErr w:type="spellEnd"/>
    </w:p>
    <w:p w14:paraId="1CE08AF4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val="en-US"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val="en-US" w:eastAsia="nl-NL"/>
        </w:rPr>
        <w:t>Shallow soils of grey schist and rhyolite (volcanic soil) and clay</w:t>
      </w:r>
    </w:p>
    <w:p w14:paraId="6D3F837C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Direct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press</w:t>
      </w:r>
      <w:proofErr w:type="spellEnd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 rosé</w:t>
      </w:r>
    </w:p>
    <w:p w14:paraId="38A42BE0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Indigenous</w:t>
      </w:r>
      <w:proofErr w:type="spellEnd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yeast</w:t>
      </w:r>
      <w:proofErr w:type="spellEnd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 xml:space="preserve"> </w:t>
      </w:r>
      <w:proofErr w:type="spellStart"/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fermentation</w:t>
      </w:r>
      <w:proofErr w:type="spellEnd"/>
    </w:p>
    <w:p w14:paraId="0D3405B9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eastAsia="nl-NL"/>
        </w:rPr>
        <w:t>No malo</w:t>
      </w:r>
    </w:p>
    <w:p w14:paraId="1FCC396A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val="en-US"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val="en-US" w:eastAsia="nl-NL"/>
        </w:rPr>
        <w:t>Fermented and aged in stainless steel</w:t>
      </w:r>
    </w:p>
    <w:p w14:paraId="78C35B9D" w14:textId="77777777" w:rsidR="004210DD" w:rsidRPr="004210DD" w:rsidRDefault="004210DD" w:rsidP="0042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474740"/>
          <w:sz w:val="24"/>
          <w:szCs w:val="24"/>
          <w:lang w:val="en-US" w:eastAsia="nl-NL"/>
        </w:rPr>
      </w:pPr>
      <w:r w:rsidRPr="004210DD">
        <w:rPr>
          <w:rFonts w:ascii="Arial" w:eastAsia="Times New Roman" w:hAnsi="Arial" w:cs="Arial"/>
          <w:color w:val="474740"/>
          <w:sz w:val="24"/>
          <w:szCs w:val="24"/>
          <w:lang w:val="en-US" w:eastAsia="nl-NL"/>
        </w:rPr>
        <w:t>A noble, supremely saline rosé. Delicate texture. Made like a white wine to preserve salinity and structure</w:t>
      </w:r>
    </w:p>
    <w:p w14:paraId="1F59B689" w14:textId="301B983D" w:rsidR="00C53B8B" w:rsidRDefault="00C53B8B"/>
    <w:sectPr w:rsidR="00C5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F6"/>
    <w:multiLevelType w:val="multilevel"/>
    <w:tmpl w:val="654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06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DD"/>
    <w:rsid w:val="00295B98"/>
    <w:rsid w:val="00404683"/>
    <w:rsid w:val="004210DD"/>
    <w:rsid w:val="00C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BAA"/>
  <w15:chartTrackingRefBased/>
  <w15:docId w15:val="{C4AC7160-8427-443D-B764-BCEA8D88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5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92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7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80817D"/>
              </w:divBdr>
              <w:divsChild>
                <w:div w:id="18428931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15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96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44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64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94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30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 Lustgraaf</dc:creator>
  <cp:keywords/>
  <dc:description/>
  <cp:lastModifiedBy>Erik van de Lustgraaf</cp:lastModifiedBy>
  <cp:revision>1</cp:revision>
  <dcterms:created xsi:type="dcterms:W3CDTF">2022-09-03T14:22:00Z</dcterms:created>
  <dcterms:modified xsi:type="dcterms:W3CDTF">2022-09-03T14:23:00Z</dcterms:modified>
</cp:coreProperties>
</file>