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Chichi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counselor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permanent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Nigeria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Geneva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</w:t>
      </w:r>
      <w:r w:rsidR="00000000" w:rsidRPr="00000000" w:rsidDel="00000000">
        <w:rPr>
          <w:rtl w:val="0"/>
        </w:rPr>
        <w:t xml:space="preserve"> lab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Sustainable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Investment</w:t>
      </w:r>
      <w:r w:rsidR="00000000" w:rsidRPr="00000000" w:rsidDel="00000000">
        <w:rPr>
          <w:rtl w:val="0"/>
        </w:rPr>
        <w:t xml:space="preserve"> Fund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Nigeria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objective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Nigeria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lift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poverty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onset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objectives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partnership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objectives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ownership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representation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partnership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involve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sectors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sector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 together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entity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ideas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partnership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enrich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discussion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expand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horizon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ultimately</w:t>
      </w:r>
      <w:r w:rsidR="00000000" w:rsidRPr="00000000" w:rsidDel="00000000">
        <w:rPr>
          <w:rtl w:val="0"/>
        </w:rPr>
        <w:t xml:space="preserve"> yield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tangible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SDG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inclusive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accessible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discussed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target</w:t>
      </w:r>
      <w:r w:rsidR="00000000" w:rsidRPr="00000000" w:rsidDel="00000000">
        <w:rPr>
          <w:rtl w:val="0"/>
        </w:rPr>
        <w:t xml:space="preserve"> audience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hallmarks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fail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