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C" w:rsidRDefault="007D1ACD" w:rsidP="0086536C">
      <w:pPr>
        <w:jc w:val="center"/>
        <w:rPr>
          <w:b/>
        </w:rPr>
      </w:pPr>
      <w:r>
        <w:rPr>
          <w:b/>
        </w:rPr>
        <w:t>Literary Terms</w:t>
      </w:r>
    </w:p>
    <w:p w:rsidR="007D1ACD" w:rsidRDefault="007D1ACD" w:rsidP="0086536C">
      <w:pPr>
        <w:ind w:left="360"/>
      </w:pPr>
    </w:p>
    <w:p w:rsidR="0086536C" w:rsidRPr="007D1ACD" w:rsidRDefault="007D1ACD" w:rsidP="0086536C">
      <w:pPr>
        <w:ind w:left="360"/>
      </w:pPr>
      <w:r>
        <w:t xml:space="preserve">Complete the following chart. Remember to include the page number of your example from </w:t>
      </w:r>
      <w:r>
        <w:rPr>
          <w:i/>
        </w:rPr>
        <w:t>Of Mice and Men</w:t>
      </w:r>
      <w:r>
        <w:t>.</w:t>
      </w:r>
    </w:p>
    <w:p w:rsidR="007D1ACD" w:rsidRDefault="007D1ACD" w:rsidP="0086536C">
      <w:pPr>
        <w:ind w:left="360"/>
      </w:pPr>
    </w:p>
    <w:tbl>
      <w:tblPr>
        <w:tblStyle w:val="TableGrid"/>
        <w:tblW w:w="10710" w:type="dxa"/>
        <w:tblInd w:w="-522" w:type="dxa"/>
        <w:tblLook w:val="04A0"/>
      </w:tblPr>
      <w:tblGrid>
        <w:gridCol w:w="1710"/>
        <w:gridCol w:w="3150"/>
        <w:gridCol w:w="2934"/>
        <w:gridCol w:w="2916"/>
      </w:tblGrid>
      <w:tr w:rsidR="007D1ACD" w:rsidRPr="007D1ACD" w:rsidTr="00C33653">
        <w:tc>
          <w:tcPr>
            <w:tcW w:w="1710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>Literary Term</w:t>
            </w:r>
          </w:p>
        </w:tc>
        <w:tc>
          <w:tcPr>
            <w:tcW w:w="3150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>Definition</w:t>
            </w:r>
          </w:p>
        </w:tc>
        <w:tc>
          <w:tcPr>
            <w:tcW w:w="2934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>General Example</w:t>
            </w:r>
          </w:p>
        </w:tc>
        <w:tc>
          <w:tcPr>
            <w:tcW w:w="2916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 xml:space="preserve">Example from </w:t>
            </w:r>
            <w:r w:rsidRPr="007D1ACD">
              <w:rPr>
                <w:b/>
                <w:i/>
              </w:rPr>
              <w:t>Of Mice and Men</w:t>
            </w:r>
          </w:p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Personification</w:t>
            </w:r>
          </w:p>
        </w:tc>
        <w:tc>
          <w:tcPr>
            <w:tcW w:w="3150" w:type="dxa"/>
          </w:tcPr>
          <w:p w:rsidR="007D1ACD" w:rsidRDefault="007D1ACD" w:rsidP="0086536C">
            <w:r>
              <w:t>G</w:t>
            </w:r>
            <w:r w:rsidRPr="00AF5337">
              <w:t>iving human traits (qualities, feelings, action, or characteristics) to non-living objects (things, colors, qualities, or ideas).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Juxtaposition</w:t>
            </w:r>
          </w:p>
        </w:tc>
        <w:tc>
          <w:tcPr>
            <w:tcW w:w="3150" w:type="dxa"/>
          </w:tcPr>
          <w:p w:rsidR="007D1ACD" w:rsidRDefault="007D1ACD" w:rsidP="0086536C">
            <w:r>
              <w:rPr>
                <w:rStyle w:val="ssens"/>
              </w:rPr>
              <w:t xml:space="preserve">The </w:t>
            </w:r>
            <w:r w:rsidRPr="00AF5337">
              <w:rPr>
                <w:rStyle w:val="ssens"/>
              </w:rPr>
              <w:t>act or an instance of placing two or more things side by side</w:t>
            </w:r>
            <w:r>
              <w:rPr>
                <w:rStyle w:val="ssens"/>
              </w:rPr>
              <w:t>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Symbolism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rPr>
                <w:color w:val="000000"/>
              </w:rPr>
              <w:t xml:space="preserve">Something that represents something else by association, resemblance, or convention, especially a material object used to represent something </w:t>
            </w:r>
            <w:r>
              <w:rPr>
                <w:color w:val="000000"/>
              </w:rPr>
              <w:t>else</w:t>
            </w:r>
            <w:r w:rsidRPr="00AF5337">
              <w:rPr>
                <w:color w:val="000000"/>
              </w:rPr>
              <w:t>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Foreshadowing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t>When the author provides hints of what may happen later in the story.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Simile</w:t>
            </w:r>
          </w:p>
        </w:tc>
        <w:tc>
          <w:tcPr>
            <w:tcW w:w="3150" w:type="dxa"/>
          </w:tcPr>
          <w:p w:rsidR="007D1ACD" w:rsidRDefault="007D1ACD" w:rsidP="0086536C">
            <w:proofErr w:type="gramStart"/>
            <w:r w:rsidRPr="00AF5337">
              <w:t>comparison</w:t>
            </w:r>
            <w:proofErr w:type="gramEnd"/>
            <w:r w:rsidRPr="00AF5337">
              <w:t xml:space="preserve"> of generally unlike objects using “like” or “as.”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Metaphor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t>A direct comparison of generally unlike objects NOT using “like” or as.”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Conflict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t>A problem or unresolved issue in a story.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lastRenderedPageBreak/>
              <w:t>Climax</w:t>
            </w:r>
          </w:p>
        </w:tc>
        <w:tc>
          <w:tcPr>
            <w:tcW w:w="3150" w:type="dxa"/>
          </w:tcPr>
          <w:p w:rsidR="007D1ACD" w:rsidRPr="00AF5337" w:rsidRDefault="007D1ACD" w:rsidP="0086536C">
            <w:r>
              <w:t>A turning point in the story.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Resolution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t>The solution to conflicts presented in a story.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Alliteration</w:t>
            </w:r>
          </w:p>
        </w:tc>
        <w:tc>
          <w:tcPr>
            <w:tcW w:w="3150" w:type="dxa"/>
          </w:tcPr>
          <w:p w:rsidR="007D1ACD" w:rsidRPr="00AF5337" w:rsidRDefault="007D1ACD" w:rsidP="0086536C">
            <w:r w:rsidRPr="00AF5337">
              <w:t>A string of words beginning with the same consonant.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Imagery</w:t>
            </w:r>
          </w:p>
        </w:tc>
        <w:tc>
          <w:tcPr>
            <w:tcW w:w="3150" w:type="dxa"/>
          </w:tcPr>
          <w:p w:rsidR="007D1ACD" w:rsidRPr="00AF5337" w:rsidRDefault="007D1ACD" w:rsidP="0086536C">
            <w:r w:rsidRPr="00AF5337">
              <w:rPr>
                <w:color w:val="000000"/>
              </w:rPr>
              <w:t>The use of vivid or figurative language to represent objects, actions, or ideas.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Style</w:t>
            </w:r>
          </w:p>
        </w:tc>
        <w:tc>
          <w:tcPr>
            <w:tcW w:w="3150" w:type="dxa"/>
          </w:tcPr>
          <w:p w:rsidR="007D1ACD" w:rsidRPr="00AF5337" w:rsidRDefault="007D1ACD" w:rsidP="0086536C">
            <w:pPr>
              <w:rPr>
                <w:color w:val="000000"/>
              </w:rPr>
            </w:pPr>
            <w:r>
              <w:t xml:space="preserve">A </w:t>
            </w:r>
            <w:r w:rsidRPr="00AF5337">
              <w:t>manner of expression</w:t>
            </w:r>
            <w:r>
              <w:t>:</w:t>
            </w:r>
            <w:r w:rsidRPr="00AF5337">
              <w:t xml:space="preserve"> </w:t>
            </w:r>
            <w:r w:rsidRPr="0010268B">
              <w:rPr>
                <w:u w:val="single"/>
              </w:rPr>
              <w:t>how</w:t>
            </w:r>
            <w:r w:rsidRPr="00E81196">
              <w:t xml:space="preserve"> </w:t>
            </w:r>
            <w:r w:rsidRPr="00AF5337">
              <w:t xml:space="preserve">a </w:t>
            </w:r>
            <w:r>
              <w:t xml:space="preserve">character </w:t>
            </w:r>
            <w:r w:rsidRPr="00AF5337">
              <w:t>or writer says what he</w:t>
            </w:r>
            <w:r>
              <w:t>/she</w:t>
            </w:r>
            <w:r w:rsidRPr="00AF5337">
              <w:t xml:space="preserve"> says.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Tone</w:t>
            </w:r>
          </w:p>
        </w:tc>
        <w:tc>
          <w:tcPr>
            <w:tcW w:w="3150" w:type="dxa"/>
          </w:tcPr>
          <w:p w:rsidR="007D1ACD" w:rsidRDefault="007D1ACD" w:rsidP="0086536C">
            <w:r>
              <w:t>T</w:t>
            </w:r>
            <w:r w:rsidRPr="00AF5337">
              <w:t>he writer's attitude toward the material and/or readers. Tone may be playful, formal, intimate, angry, serious, ironic, outraged, baffled, tender, serene, depressed, etc.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Motif</w:t>
            </w:r>
          </w:p>
        </w:tc>
        <w:tc>
          <w:tcPr>
            <w:tcW w:w="3150" w:type="dxa"/>
          </w:tcPr>
          <w:p w:rsidR="007D1ACD" w:rsidRDefault="007D1ACD" w:rsidP="0086536C">
            <w:r>
              <w:t>A repeating theme or event.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Mood</w:t>
            </w:r>
          </w:p>
        </w:tc>
        <w:tc>
          <w:tcPr>
            <w:tcW w:w="3150" w:type="dxa"/>
          </w:tcPr>
          <w:p w:rsidR="007D1ACD" w:rsidRDefault="007D1ACD" w:rsidP="0086536C">
            <w:r w:rsidRPr="00AF5337">
              <w:t xml:space="preserve">The atmosphere that pervades a literary work with the intention of evoking a certain emotion or feeling from the </w:t>
            </w:r>
            <w:r>
              <w:t>readers</w:t>
            </w:r>
            <w:r w:rsidRPr="00AF5337">
              <w:t>.</w:t>
            </w: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lastRenderedPageBreak/>
              <w:t>Theme</w:t>
            </w:r>
          </w:p>
        </w:tc>
        <w:tc>
          <w:tcPr>
            <w:tcW w:w="3150" w:type="dxa"/>
          </w:tcPr>
          <w:p w:rsidR="00C33653" w:rsidRPr="00AF5337" w:rsidRDefault="00C33653" w:rsidP="0086536C">
            <w:r w:rsidRPr="00AF5337">
              <w:t>The moral or message of a story.</w:t>
            </w:r>
          </w:p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Protagonist</w:t>
            </w:r>
          </w:p>
        </w:tc>
        <w:tc>
          <w:tcPr>
            <w:tcW w:w="3150" w:type="dxa"/>
          </w:tcPr>
          <w:p w:rsidR="00C33653" w:rsidRPr="00AF5337" w:rsidRDefault="00C33653" w:rsidP="0086536C">
            <w:r w:rsidRPr="00AF5337">
              <w:t>A main character or “hero” of a story.</w:t>
            </w:r>
          </w:p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Antagonist</w:t>
            </w:r>
          </w:p>
        </w:tc>
        <w:tc>
          <w:tcPr>
            <w:tcW w:w="3150" w:type="dxa"/>
          </w:tcPr>
          <w:p w:rsidR="00C33653" w:rsidRPr="00AF5337" w:rsidRDefault="00C33653" w:rsidP="0086536C">
            <w:r w:rsidRPr="00AF5337">
              <w:t>Usually the character who opposes the protagonist.</w:t>
            </w:r>
          </w:p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Magic Realism</w:t>
            </w:r>
          </w:p>
        </w:tc>
        <w:tc>
          <w:tcPr>
            <w:tcW w:w="3150" w:type="dxa"/>
          </w:tcPr>
          <w:p w:rsidR="00C33653" w:rsidRPr="00AF5337" w:rsidRDefault="00C33653" w:rsidP="0086536C">
            <w:r w:rsidRPr="00AF5337">
              <w:t>A narrative technique that blurs the distinction between fantasy and reality.</w:t>
            </w:r>
          </w:p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</w:tbl>
    <w:p w:rsidR="007D1ACD" w:rsidRDefault="007D1ACD" w:rsidP="0086536C">
      <w:pPr>
        <w:ind w:left="360"/>
      </w:pPr>
    </w:p>
    <w:sectPr w:rsidR="007D1ACD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FF" w:rsidRDefault="002248FF" w:rsidP="00EC3C98">
      <w:r>
        <w:separator/>
      </w:r>
    </w:p>
  </w:endnote>
  <w:endnote w:type="continuationSeparator" w:id="0">
    <w:p w:rsidR="002248FF" w:rsidRDefault="002248FF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F" w:rsidRDefault="00AE3EDC" w:rsidP="00EC3C98">
    <w:pPr>
      <w:pStyle w:val="Footer"/>
      <w:jc w:val="center"/>
    </w:pPr>
    <w:fldSimple w:instr=" FILENAME  \* Caps  \* MERGEFORMAT ">
      <w:r w:rsidR="00F72AF8">
        <w:rPr>
          <w:noProof/>
        </w:rPr>
        <w:t>2-08b Literary Terms T-Chart Partially Complete</w:t>
      </w:r>
    </w:fldSimple>
  </w:p>
  <w:p w:rsidR="002248FF" w:rsidRDefault="00224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FF" w:rsidRDefault="002248FF" w:rsidP="00EC3C98">
      <w:r>
        <w:separator/>
      </w:r>
    </w:p>
  </w:footnote>
  <w:footnote w:type="continuationSeparator" w:id="0">
    <w:p w:rsidR="002248FF" w:rsidRDefault="002248FF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2248FF"/>
    <w:rsid w:val="003E0C6C"/>
    <w:rsid w:val="00474BC2"/>
    <w:rsid w:val="004B024F"/>
    <w:rsid w:val="004D5267"/>
    <w:rsid w:val="005249A6"/>
    <w:rsid w:val="005976FB"/>
    <w:rsid w:val="006D3921"/>
    <w:rsid w:val="00715ED7"/>
    <w:rsid w:val="007D1ACD"/>
    <w:rsid w:val="007E0FA9"/>
    <w:rsid w:val="0086536C"/>
    <w:rsid w:val="00AD3227"/>
    <w:rsid w:val="00AE3EDC"/>
    <w:rsid w:val="00B26700"/>
    <w:rsid w:val="00C33653"/>
    <w:rsid w:val="00D83A50"/>
    <w:rsid w:val="00DD0DB4"/>
    <w:rsid w:val="00EC3C98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7D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dcterms:created xsi:type="dcterms:W3CDTF">2013-12-03T17:26:00Z</dcterms:created>
  <dcterms:modified xsi:type="dcterms:W3CDTF">2013-12-03T17:26:00Z</dcterms:modified>
</cp:coreProperties>
</file>