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style1.xml" ContentType="application/vnd.ms-office.chartstyle+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D7978" w14:textId="77777777" w:rsidR="008E1DEF" w:rsidRDefault="008E1DEF">
      <w:pPr>
        <w:rPr>
          <w:lang w:val="en-GB"/>
        </w:rPr>
      </w:pPr>
    </w:p>
    <w:p w14:paraId="2570BC14" w14:textId="77777777" w:rsidR="008E1DEF" w:rsidRDefault="008E1DEF">
      <w:pPr>
        <w:rPr>
          <w:lang w:val="en-GB"/>
        </w:rPr>
      </w:pPr>
    </w:p>
    <w:p w14:paraId="70EC002A" w14:textId="4C8FA40E" w:rsidR="008E1DEF" w:rsidRDefault="00000000">
      <w:pPr>
        <w:jc w:val="center"/>
        <w:rPr>
          <w:sz w:val="36"/>
          <w:szCs w:val="36"/>
          <w:lang w:val="en-GB"/>
        </w:rPr>
      </w:pPr>
      <w:r>
        <w:rPr>
          <w:sz w:val="36"/>
          <w:szCs w:val="36"/>
          <w:lang w:val="en-GB"/>
        </w:rPr>
        <w:t>Tracking disability inclusive development:</w:t>
      </w:r>
    </w:p>
    <w:p w14:paraId="3D9592D7" w14:textId="2E2F0F35" w:rsidR="008E1DEF" w:rsidRDefault="008E1DEF">
      <w:pPr>
        <w:jc w:val="center"/>
        <w:rPr>
          <w:lang w:val="en-GB"/>
        </w:rPr>
      </w:pPr>
    </w:p>
    <w:p w14:paraId="5E673A92" w14:textId="77777777" w:rsidR="008E1DEF" w:rsidRDefault="008E1DEF">
      <w:pPr>
        <w:jc w:val="center"/>
        <w:rPr>
          <w:lang w:val="en-GB"/>
        </w:rPr>
      </w:pPr>
    </w:p>
    <w:p w14:paraId="28CF2E3D" w14:textId="1878CD84" w:rsidR="008E1DEF" w:rsidRDefault="00000000">
      <w:pPr>
        <w:jc w:val="center"/>
        <w:rPr>
          <w:b/>
          <w:bCs/>
          <w:sz w:val="48"/>
          <w:szCs w:val="48"/>
          <w:lang w:val="en-GB"/>
        </w:rPr>
      </w:pPr>
      <w:r>
        <w:rPr>
          <w:b/>
          <w:bCs/>
          <w:sz w:val="48"/>
          <w:szCs w:val="48"/>
          <w:lang w:val="en-GB"/>
        </w:rPr>
        <w:t>Making the most of the OECD-DAC disability inclusion policy marker to promote equality and inclusion in international development and humanitarian assistance</w:t>
      </w:r>
    </w:p>
    <w:p w14:paraId="6D70F819" w14:textId="21EACB4C" w:rsidR="008E1DEF" w:rsidRDefault="008E1DEF">
      <w:pPr>
        <w:rPr>
          <w:lang w:val="en-GB"/>
        </w:rPr>
      </w:pPr>
    </w:p>
    <w:p w14:paraId="4785F1F5" w14:textId="78A02B8D" w:rsidR="008E1DEF" w:rsidRDefault="008E1DEF">
      <w:pPr>
        <w:rPr>
          <w:lang w:val="en-GB"/>
        </w:rPr>
      </w:pPr>
    </w:p>
    <w:p w14:paraId="33B3C17A" w14:textId="1906D681" w:rsidR="008E1DEF" w:rsidRDefault="00000000">
      <w:pPr>
        <w:jc w:val="center"/>
        <w:rPr>
          <w:sz w:val="28"/>
          <w:szCs w:val="28"/>
          <w:lang w:val="en-GB"/>
        </w:rPr>
      </w:pPr>
      <w:r>
        <w:rPr>
          <w:sz w:val="28"/>
          <w:szCs w:val="28"/>
          <w:lang w:val="en-GB"/>
        </w:rPr>
        <w:t>By Polly Meeks</w:t>
      </w:r>
    </w:p>
    <w:p w14:paraId="365FD600" w14:textId="3BE238CF" w:rsidR="008E1DEF" w:rsidRDefault="00000000">
      <w:pPr>
        <w:jc w:val="center"/>
        <w:rPr>
          <w:sz w:val="28"/>
          <w:szCs w:val="28"/>
          <w:lang w:val="en-GB"/>
        </w:rPr>
      </w:pPr>
      <w:r>
        <w:rPr>
          <w:sz w:val="28"/>
          <w:szCs w:val="28"/>
          <w:lang w:val="en-GB"/>
        </w:rPr>
        <w:t>March 2023</w:t>
      </w:r>
    </w:p>
    <w:p w14:paraId="71DAF554" w14:textId="78028DAD" w:rsidR="008E1DEF" w:rsidRDefault="008E1DEF">
      <w:pPr>
        <w:jc w:val="center"/>
        <w:rPr>
          <w:sz w:val="28"/>
          <w:szCs w:val="28"/>
          <w:lang w:val="en-GB"/>
        </w:rPr>
      </w:pPr>
    </w:p>
    <w:p w14:paraId="150210EC" w14:textId="0B4FF6F1" w:rsidR="008E1DEF" w:rsidRDefault="008E1DEF">
      <w:pPr>
        <w:jc w:val="center"/>
        <w:rPr>
          <w:sz w:val="28"/>
          <w:szCs w:val="28"/>
          <w:lang w:val="en-GB"/>
        </w:rPr>
      </w:pPr>
    </w:p>
    <w:p w14:paraId="15C140CA" w14:textId="31DF3291" w:rsidR="008E1DEF" w:rsidRDefault="008E1DEF">
      <w:pPr>
        <w:jc w:val="center"/>
        <w:rPr>
          <w:sz w:val="28"/>
          <w:szCs w:val="28"/>
          <w:lang w:val="en-GB"/>
        </w:rPr>
      </w:pPr>
    </w:p>
    <w:p w14:paraId="4C3EE6DD" w14:textId="21E899FE" w:rsidR="008E1DEF" w:rsidRDefault="008E1DEF">
      <w:pPr>
        <w:jc w:val="center"/>
        <w:rPr>
          <w:sz w:val="28"/>
          <w:szCs w:val="28"/>
          <w:lang w:val="en-GB"/>
        </w:rPr>
      </w:pPr>
    </w:p>
    <w:p w14:paraId="73687538" w14:textId="0965DE48" w:rsidR="008E1DEF" w:rsidRDefault="008E1DEF">
      <w:pPr>
        <w:jc w:val="center"/>
        <w:rPr>
          <w:sz w:val="28"/>
          <w:szCs w:val="28"/>
          <w:lang w:val="en-GB"/>
        </w:rPr>
      </w:pPr>
    </w:p>
    <w:p w14:paraId="240D2A3A" w14:textId="2819C425" w:rsidR="008E1DEF" w:rsidRDefault="008E1DEF">
      <w:pPr>
        <w:jc w:val="center"/>
        <w:rPr>
          <w:sz w:val="28"/>
          <w:szCs w:val="28"/>
          <w:lang w:val="en-GB"/>
        </w:rPr>
      </w:pPr>
    </w:p>
    <w:p w14:paraId="7F868772" w14:textId="77777777" w:rsidR="008E1DEF" w:rsidRDefault="008E1DEF">
      <w:pPr>
        <w:jc w:val="center"/>
        <w:rPr>
          <w:sz w:val="28"/>
          <w:szCs w:val="28"/>
          <w:lang w:val="en-GB"/>
        </w:rPr>
      </w:pPr>
    </w:p>
    <w:p w14:paraId="36BF3489" w14:textId="5323194C" w:rsidR="008E1DEF" w:rsidRDefault="00000000">
      <w:pPr>
        <w:jc w:val="center"/>
        <w:rPr>
          <w:sz w:val="28"/>
          <w:szCs w:val="28"/>
          <w:lang w:val="en-GB"/>
        </w:rPr>
      </w:pPr>
      <w:r>
        <w:rPr>
          <w:noProof/>
          <w:sz w:val="28"/>
          <w:szCs w:val="28"/>
          <w:lang w:val="en-GB"/>
        </w:rPr>
        <w:drawing>
          <wp:inline distT="0" distB="0" distL="0" distR="0" wp14:anchorId="1ECBC142" wp14:editId="35C5B90B">
            <wp:extent cx="2921000" cy="1247234"/>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pic:cNvPicPr/>
                  </pic:nvPicPr>
                  <pic:blipFill>
                    <a:blip r:embed="rId8">
                      <a:extLst>
                        <a:ext uri="{28A0092B-C50C-407E-A947-70E740481C1C}">
                          <a14:useLocalDpi xmlns:a14="http://schemas.microsoft.com/office/drawing/2010/main" val="0"/>
                        </a:ext>
                      </a:extLst>
                    </a:blip>
                    <a:stretch>
                      <a:fillRect/>
                    </a:stretch>
                  </pic:blipFill>
                  <pic:spPr>
                    <a:xfrm>
                      <a:off x="0" y="0"/>
                      <a:ext cx="2956196" cy="1262262"/>
                    </a:xfrm>
                    <a:prstGeom prst="rect">
                      <a:avLst/>
                    </a:prstGeom>
                  </pic:spPr>
                </pic:pic>
              </a:graphicData>
            </a:graphic>
          </wp:inline>
        </w:drawing>
      </w:r>
    </w:p>
    <w:p w14:paraId="5CA6FDE9" w14:textId="0D67BFC5" w:rsidR="008E1DEF" w:rsidRDefault="008E1DEF">
      <w:pPr>
        <w:jc w:val="center"/>
        <w:rPr>
          <w:sz w:val="28"/>
          <w:szCs w:val="28"/>
          <w:lang w:val="en-GB"/>
        </w:rPr>
      </w:pPr>
    </w:p>
    <w:p w14:paraId="6034A029" w14:textId="6B20B886" w:rsidR="008E1DEF" w:rsidRDefault="00000000">
      <w:pPr>
        <w:jc w:val="center"/>
        <w:rPr>
          <w:sz w:val="28"/>
          <w:szCs w:val="28"/>
          <w:lang w:val="en-GB"/>
        </w:rPr>
      </w:pPr>
      <w:r>
        <w:rPr>
          <w:sz w:val="28"/>
          <w:szCs w:val="28"/>
          <w:lang w:val="en-GB"/>
        </w:rPr>
        <w:t>Commissioned by The Atlas Alliance</w:t>
      </w:r>
      <w:r w:rsidR="006635C6">
        <w:rPr>
          <w:sz w:val="28"/>
          <w:szCs w:val="28"/>
          <w:lang w:val="en-GB"/>
        </w:rPr>
        <w:t xml:space="preserve">, with the support of </w:t>
      </w:r>
      <w:proofErr w:type="spellStart"/>
      <w:r w:rsidR="006635C6">
        <w:rPr>
          <w:sz w:val="28"/>
          <w:szCs w:val="28"/>
          <w:lang w:val="en-GB"/>
        </w:rPr>
        <w:t>Norad</w:t>
      </w:r>
      <w:proofErr w:type="spellEnd"/>
    </w:p>
    <w:p w14:paraId="5D36C5CB" w14:textId="194EF276" w:rsidR="008E1DEF" w:rsidRDefault="008E1DEF">
      <w:pPr>
        <w:rPr>
          <w:lang w:val="en-GB"/>
        </w:rPr>
      </w:pPr>
    </w:p>
    <w:p w14:paraId="4B159F78" w14:textId="762D45BF" w:rsidR="008E1DEF" w:rsidRDefault="008E1DEF">
      <w:pPr>
        <w:rPr>
          <w:lang w:val="en-GB"/>
        </w:rPr>
      </w:pPr>
    </w:p>
    <w:p w14:paraId="6C12A744" w14:textId="77777777" w:rsidR="008E1DEF" w:rsidRDefault="008E1DEF">
      <w:pPr>
        <w:pStyle w:val="Overskriftforinnholdsfortegnelse"/>
        <w:rPr>
          <w:rFonts w:asciiTheme="minorHAnsi" w:eastAsiaTheme="minorHAnsi" w:hAnsiTheme="minorHAnsi" w:cstheme="minorBidi"/>
          <w:color w:val="auto"/>
          <w:sz w:val="22"/>
          <w:szCs w:val="22"/>
          <w:lang w:val="fr-BE"/>
        </w:rPr>
      </w:pPr>
    </w:p>
    <w:sdt>
      <w:sdtPr>
        <w:rPr>
          <w:rFonts w:asciiTheme="minorHAnsi" w:eastAsiaTheme="minorHAnsi" w:hAnsiTheme="minorHAnsi" w:cstheme="minorBidi"/>
          <w:b/>
          <w:bCs/>
          <w:color w:val="auto"/>
          <w:sz w:val="22"/>
          <w:szCs w:val="22"/>
          <w:lang w:val="fr-BE"/>
        </w:rPr>
        <w:id w:val="-539355536"/>
        <w:docPartObj>
          <w:docPartGallery w:val="Table of Contents"/>
          <w:docPartUnique/>
        </w:docPartObj>
      </w:sdtPr>
      <w:sdtEndPr>
        <w:rPr>
          <w:rFonts w:asciiTheme="majorHAnsi" w:eastAsiaTheme="majorEastAsia" w:hAnsiTheme="majorHAnsi" w:cstheme="majorBidi"/>
          <w:color w:val="4472C4" w:themeColor="accent1"/>
          <w:sz w:val="28"/>
          <w:szCs w:val="26"/>
          <w:lang w:val="en-GB"/>
        </w:rPr>
      </w:sdtEndPr>
      <w:sdtContent>
        <w:p w14:paraId="3F1B705D" w14:textId="010D08AE" w:rsidR="008E1DEF" w:rsidRDefault="00000000">
          <w:pPr>
            <w:pStyle w:val="Overskriftforinnholdsfortegnelse"/>
          </w:pPr>
          <w:r>
            <w:t>Contents</w:t>
          </w:r>
        </w:p>
        <w:p w14:paraId="50784423" w14:textId="3F2DFF50" w:rsidR="008E1DEF" w:rsidRDefault="00000000">
          <w:pPr>
            <w:pStyle w:val="INNH2"/>
            <w:tabs>
              <w:tab w:val="right" w:leader="dot" w:pos="9016"/>
            </w:tabs>
            <w:rPr>
              <w:rFonts w:eastAsiaTheme="minorEastAsia"/>
              <w:noProof/>
              <w:lang w:val="en-GB" w:eastAsia="en-GB"/>
            </w:rPr>
          </w:pPr>
          <w:r>
            <w:fldChar w:fldCharType="begin"/>
          </w:r>
          <w:r>
            <w:instrText xml:space="preserve"> TOC \o "1-3" \h \z \u </w:instrText>
          </w:r>
          <w:r>
            <w:fldChar w:fldCharType="separate"/>
          </w:r>
          <w:hyperlink w:anchor="_Toc129039818" w:history="1">
            <w:r>
              <w:rPr>
                <w:rStyle w:val="Hyperkobling"/>
                <w:noProof/>
              </w:rPr>
              <w:t>Summary</w:t>
            </w:r>
            <w:r>
              <w:rPr>
                <w:noProof/>
                <w:webHidden/>
              </w:rPr>
              <w:tab/>
            </w:r>
            <w:r>
              <w:rPr>
                <w:noProof/>
                <w:webHidden/>
              </w:rPr>
              <w:fldChar w:fldCharType="begin"/>
            </w:r>
            <w:r>
              <w:rPr>
                <w:noProof/>
                <w:webHidden/>
              </w:rPr>
              <w:instrText xml:space="preserve"> PAGEREF _Toc129039818 \h </w:instrText>
            </w:r>
            <w:r>
              <w:rPr>
                <w:noProof/>
                <w:webHidden/>
              </w:rPr>
            </w:r>
            <w:r>
              <w:rPr>
                <w:noProof/>
                <w:webHidden/>
              </w:rPr>
              <w:fldChar w:fldCharType="separate"/>
            </w:r>
            <w:r>
              <w:rPr>
                <w:noProof/>
                <w:webHidden/>
              </w:rPr>
              <w:t>3</w:t>
            </w:r>
            <w:r>
              <w:rPr>
                <w:noProof/>
                <w:webHidden/>
              </w:rPr>
              <w:fldChar w:fldCharType="end"/>
            </w:r>
          </w:hyperlink>
        </w:p>
        <w:p w14:paraId="30DAD4F2" w14:textId="10F3712F" w:rsidR="008E1DEF" w:rsidRDefault="00000000">
          <w:pPr>
            <w:pStyle w:val="INNH2"/>
            <w:tabs>
              <w:tab w:val="right" w:leader="dot" w:pos="9016"/>
            </w:tabs>
            <w:rPr>
              <w:rFonts w:eastAsiaTheme="minorEastAsia"/>
              <w:noProof/>
              <w:lang w:val="en-GB" w:eastAsia="en-GB"/>
            </w:rPr>
          </w:pPr>
          <w:hyperlink w:anchor="_Toc129039819" w:history="1">
            <w:r>
              <w:rPr>
                <w:rStyle w:val="Hyperkobling"/>
                <w:noProof/>
              </w:rPr>
              <w:t>Introduction</w:t>
            </w:r>
            <w:r>
              <w:rPr>
                <w:noProof/>
                <w:webHidden/>
              </w:rPr>
              <w:tab/>
            </w:r>
            <w:r>
              <w:rPr>
                <w:noProof/>
                <w:webHidden/>
              </w:rPr>
              <w:fldChar w:fldCharType="begin"/>
            </w:r>
            <w:r>
              <w:rPr>
                <w:noProof/>
                <w:webHidden/>
              </w:rPr>
              <w:instrText xml:space="preserve"> PAGEREF _Toc129039819 \h </w:instrText>
            </w:r>
            <w:r>
              <w:rPr>
                <w:noProof/>
                <w:webHidden/>
              </w:rPr>
            </w:r>
            <w:r>
              <w:rPr>
                <w:noProof/>
                <w:webHidden/>
              </w:rPr>
              <w:fldChar w:fldCharType="separate"/>
            </w:r>
            <w:r>
              <w:rPr>
                <w:noProof/>
                <w:webHidden/>
              </w:rPr>
              <w:t>4</w:t>
            </w:r>
            <w:r>
              <w:rPr>
                <w:noProof/>
                <w:webHidden/>
              </w:rPr>
              <w:fldChar w:fldCharType="end"/>
            </w:r>
          </w:hyperlink>
        </w:p>
        <w:p w14:paraId="562826C6" w14:textId="1530BB1C" w:rsidR="008E1DEF" w:rsidRDefault="00000000">
          <w:pPr>
            <w:pStyle w:val="INNH3"/>
            <w:tabs>
              <w:tab w:val="right" w:leader="dot" w:pos="9016"/>
            </w:tabs>
            <w:rPr>
              <w:rFonts w:eastAsiaTheme="minorEastAsia"/>
              <w:noProof/>
              <w:lang w:val="en-GB" w:eastAsia="en-GB"/>
            </w:rPr>
          </w:pPr>
          <w:hyperlink w:anchor="_Toc129039820" w:history="1">
            <w:r>
              <w:rPr>
                <w:rStyle w:val="Hyperkobling"/>
                <w:b/>
                <w:bCs/>
                <w:noProof/>
                <w:lang w:val="en-GB"/>
              </w:rPr>
              <w:t>Context</w:t>
            </w:r>
            <w:r>
              <w:rPr>
                <w:noProof/>
                <w:webHidden/>
              </w:rPr>
              <w:tab/>
            </w:r>
            <w:r>
              <w:rPr>
                <w:noProof/>
                <w:webHidden/>
              </w:rPr>
              <w:fldChar w:fldCharType="begin"/>
            </w:r>
            <w:r>
              <w:rPr>
                <w:noProof/>
                <w:webHidden/>
              </w:rPr>
              <w:instrText xml:space="preserve"> PAGEREF _Toc129039820 \h </w:instrText>
            </w:r>
            <w:r>
              <w:rPr>
                <w:noProof/>
                <w:webHidden/>
              </w:rPr>
            </w:r>
            <w:r>
              <w:rPr>
                <w:noProof/>
                <w:webHidden/>
              </w:rPr>
              <w:fldChar w:fldCharType="separate"/>
            </w:r>
            <w:r>
              <w:rPr>
                <w:noProof/>
                <w:webHidden/>
              </w:rPr>
              <w:t>4</w:t>
            </w:r>
            <w:r>
              <w:rPr>
                <w:noProof/>
                <w:webHidden/>
              </w:rPr>
              <w:fldChar w:fldCharType="end"/>
            </w:r>
          </w:hyperlink>
        </w:p>
        <w:p w14:paraId="5D64521E" w14:textId="3F45D5D3" w:rsidR="008E1DEF" w:rsidRDefault="00000000">
          <w:pPr>
            <w:pStyle w:val="INNH3"/>
            <w:tabs>
              <w:tab w:val="right" w:leader="dot" w:pos="9016"/>
            </w:tabs>
            <w:rPr>
              <w:rFonts w:eastAsiaTheme="minorEastAsia"/>
              <w:noProof/>
              <w:lang w:val="en-GB" w:eastAsia="en-GB"/>
            </w:rPr>
          </w:pPr>
          <w:hyperlink w:anchor="_Toc129039821" w:history="1">
            <w:r>
              <w:rPr>
                <w:rStyle w:val="Hyperkobling"/>
                <w:b/>
                <w:bCs/>
                <w:noProof/>
                <w:lang w:val="en-GB"/>
              </w:rPr>
              <w:t>Disability policy markers</w:t>
            </w:r>
            <w:r>
              <w:rPr>
                <w:noProof/>
                <w:webHidden/>
              </w:rPr>
              <w:tab/>
            </w:r>
            <w:r>
              <w:rPr>
                <w:noProof/>
                <w:webHidden/>
              </w:rPr>
              <w:fldChar w:fldCharType="begin"/>
            </w:r>
            <w:r>
              <w:rPr>
                <w:noProof/>
                <w:webHidden/>
              </w:rPr>
              <w:instrText xml:space="preserve"> PAGEREF _Toc129039821 \h </w:instrText>
            </w:r>
            <w:r>
              <w:rPr>
                <w:noProof/>
                <w:webHidden/>
              </w:rPr>
            </w:r>
            <w:r>
              <w:rPr>
                <w:noProof/>
                <w:webHidden/>
              </w:rPr>
              <w:fldChar w:fldCharType="separate"/>
            </w:r>
            <w:r>
              <w:rPr>
                <w:noProof/>
                <w:webHidden/>
              </w:rPr>
              <w:t>4</w:t>
            </w:r>
            <w:r>
              <w:rPr>
                <w:noProof/>
                <w:webHidden/>
              </w:rPr>
              <w:fldChar w:fldCharType="end"/>
            </w:r>
          </w:hyperlink>
        </w:p>
        <w:p w14:paraId="6CAF4115" w14:textId="59B048F5" w:rsidR="008E1DEF" w:rsidRDefault="00000000">
          <w:pPr>
            <w:pStyle w:val="INNH3"/>
            <w:tabs>
              <w:tab w:val="right" w:leader="dot" w:pos="9016"/>
            </w:tabs>
            <w:rPr>
              <w:rFonts w:eastAsiaTheme="minorEastAsia"/>
              <w:noProof/>
              <w:lang w:val="en-GB" w:eastAsia="en-GB"/>
            </w:rPr>
          </w:pPr>
          <w:hyperlink w:anchor="_Toc129039822" w:history="1">
            <w:r>
              <w:rPr>
                <w:rStyle w:val="Hyperkobling"/>
                <w:b/>
                <w:bCs/>
                <w:noProof/>
                <w:lang w:val="en-GB"/>
              </w:rPr>
              <w:t>This short report</w:t>
            </w:r>
            <w:r>
              <w:rPr>
                <w:noProof/>
                <w:webHidden/>
              </w:rPr>
              <w:tab/>
            </w:r>
            <w:r>
              <w:rPr>
                <w:noProof/>
                <w:webHidden/>
              </w:rPr>
              <w:fldChar w:fldCharType="begin"/>
            </w:r>
            <w:r>
              <w:rPr>
                <w:noProof/>
                <w:webHidden/>
              </w:rPr>
              <w:instrText xml:space="preserve"> PAGEREF _Toc129039822 \h </w:instrText>
            </w:r>
            <w:r>
              <w:rPr>
                <w:noProof/>
                <w:webHidden/>
              </w:rPr>
            </w:r>
            <w:r>
              <w:rPr>
                <w:noProof/>
                <w:webHidden/>
              </w:rPr>
              <w:fldChar w:fldCharType="separate"/>
            </w:r>
            <w:r>
              <w:rPr>
                <w:noProof/>
                <w:webHidden/>
              </w:rPr>
              <w:t>6</w:t>
            </w:r>
            <w:r>
              <w:rPr>
                <w:noProof/>
                <w:webHidden/>
              </w:rPr>
              <w:fldChar w:fldCharType="end"/>
            </w:r>
          </w:hyperlink>
        </w:p>
        <w:p w14:paraId="1A60A9F5" w14:textId="5F43EB15" w:rsidR="008E1DEF" w:rsidRDefault="00000000">
          <w:pPr>
            <w:pStyle w:val="INNH3"/>
            <w:tabs>
              <w:tab w:val="right" w:leader="dot" w:pos="9016"/>
            </w:tabs>
            <w:rPr>
              <w:rFonts w:eastAsiaTheme="minorEastAsia"/>
              <w:noProof/>
              <w:lang w:val="en-GB" w:eastAsia="en-GB"/>
            </w:rPr>
          </w:pPr>
          <w:hyperlink w:anchor="_Toc129039823" w:history="1">
            <w:r>
              <w:rPr>
                <w:rStyle w:val="Hyperkobling"/>
                <w:b/>
                <w:bCs/>
                <w:noProof/>
                <w:lang w:val="en-GB"/>
              </w:rPr>
              <w:t>Technical note: “Allocable” ODA</w:t>
            </w:r>
            <w:r>
              <w:rPr>
                <w:noProof/>
                <w:webHidden/>
              </w:rPr>
              <w:tab/>
            </w:r>
            <w:r>
              <w:rPr>
                <w:noProof/>
                <w:webHidden/>
              </w:rPr>
              <w:fldChar w:fldCharType="begin"/>
            </w:r>
            <w:r>
              <w:rPr>
                <w:noProof/>
                <w:webHidden/>
              </w:rPr>
              <w:instrText xml:space="preserve"> PAGEREF _Toc129039823 \h </w:instrText>
            </w:r>
            <w:r>
              <w:rPr>
                <w:noProof/>
                <w:webHidden/>
              </w:rPr>
            </w:r>
            <w:r>
              <w:rPr>
                <w:noProof/>
                <w:webHidden/>
              </w:rPr>
              <w:fldChar w:fldCharType="separate"/>
            </w:r>
            <w:r>
              <w:rPr>
                <w:noProof/>
                <w:webHidden/>
              </w:rPr>
              <w:t>6</w:t>
            </w:r>
            <w:r>
              <w:rPr>
                <w:noProof/>
                <w:webHidden/>
              </w:rPr>
              <w:fldChar w:fldCharType="end"/>
            </w:r>
          </w:hyperlink>
        </w:p>
        <w:p w14:paraId="0964E211" w14:textId="17A8431A" w:rsidR="008E1DEF" w:rsidRDefault="00000000">
          <w:pPr>
            <w:pStyle w:val="INNH2"/>
            <w:tabs>
              <w:tab w:val="right" w:leader="dot" w:pos="9016"/>
            </w:tabs>
            <w:rPr>
              <w:rFonts w:eastAsiaTheme="minorEastAsia"/>
              <w:noProof/>
              <w:lang w:val="en-GB" w:eastAsia="en-GB"/>
            </w:rPr>
          </w:pPr>
          <w:hyperlink w:anchor="_Toc129039824" w:history="1">
            <w:r>
              <w:rPr>
                <w:rStyle w:val="Hyperkobling"/>
                <w:noProof/>
              </w:rPr>
              <w:t>Opportunities to get the most from the disability inclusion policy marker</w:t>
            </w:r>
            <w:r>
              <w:rPr>
                <w:noProof/>
                <w:webHidden/>
              </w:rPr>
              <w:tab/>
            </w:r>
            <w:r>
              <w:rPr>
                <w:noProof/>
                <w:webHidden/>
              </w:rPr>
              <w:fldChar w:fldCharType="begin"/>
            </w:r>
            <w:r>
              <w:rPr>
                <w:noProof/>
                <w:webHidden/>
              </w:rPr>
              <w:instrText xml:space="preserve"> PAGEREF _Toc129039824 \h </w:instrText>
            </w:r>
            <w:r>
              <w:rPr>
                <w:noProof/>
                <w:webHidden/>
              </w:rPr>
            </w:r>
            <w:r>
              <w:rPr>
                <w:noProof/>
                <w:webHidden/>
              </w:rPr>
              <w:fldChar w:fldCharType="separate"/>
            </w:r>
            <w:r>
              <w:rPr>
                <w:noProof/>
                <w:webHidden/>
              </w:rPr>
              <w:t>7</w:t>
            </w:r>
            <w:r>
              <w:rPr>
                <w:noProof/>
                <w:webHidden/>
              </w:rPr>
              <w:fldChar w:fldCharType="end"/>
            </w:r>
          </w:hyperlink>
        </w:p>
        <w:p w14:paraId="7E415347" w14:textId="0D0AFE20" w:rsidR="008E1DEF" w:rsidRDefault="00000000">
          <w:pPr>
            <w:pStyle w:val="INNH3"/>
            <w:tabs>
              <w:tab w:val="right" w:leader="dot" w:pos="9016"/>
            </w:tabs>
            <w:rPr>
              <w:rFonts w:eastAsiaTheme="minorEastAsia"/>
              <w:noProof/>
              <w:lang w:val="en-GB" w:eastAsia="en-GB"/>
            </w:rPr>
          </w:pPr>
          <w:hyperlink w:anchor="_Toc129039825" w:history="1">
            <w:r>
              <w:rPr>
                <w:rStyle w:val="Hyperkobling"/>
                <w:b/>
                <w:bCs/>
                <w:noProof/>
                <w:lang w:val="en-GB"/>
              </w:rPr>
              <w:t>Opportunity 1: Make full use of the disability inclusion policy marker</w:t>
            </w:r>
            <w:r>
              <w:rPr>
                <w:noProof/>
                <w:webHidden/>
              </w:rPr>
              <w:tab/>
            </w:r>
            <w:r>
              <w:rPr>
                <w:noProof/>
                <w:webHidden/>
              </w:rPr>
              <w:fldChar w:fldCharType="begin"/>
            </w:r>
            <w:r>
              <w:rPr>
                <w:noProof/>
                <w:webHidden/>
              </w:rPr>
              <w:instrText xml:space="preserve"> PAGEREF _Toc129039825 \h </w:instrText>
            </w:r>
            <w:r>
              <w:rPr>
                <w:noProof/>
                <w:webHidden/>
              </w:rPr>
            </w:r>
            <w:r>
              <w:rPr>
                <w:noProof/>
                <w:webHidden/>
              </w:rPr>
              <w:fldChar w:fldCharType="separate"/>
            </w:r>
            <w:r>
              <w:rPr>
                <w:noProof/>
                <w:webHidden/>
              </w:rPr>
              <w:t>7</w:t>
            </w:r>
            <w:r>
              <w:rPr>
                <w:noProof/>
                <w:webHidden/>
              </w:rPr>
              <w:fldChar w:fldCharType="end"/>
            </w:r>
          </w:hyperlink>
        </w:p>
        <w:p w14:paraId="2B24D856" w14:textId="2A845404" w:rsidR="008E1DEF" w:rsidRDefault="00000000">
          <w:pPr>
            <w:pStyle w:val="INNH3"/>
            <w:tabs>
              <w:tab w:val="right" w:leader="dot" w:pos="9016"/>
            </w:tabs>
            <w:rPr>
              <w:rFonts w:eastAsiaTheme="minorEastAsia"/>
              <w:noProof/>
              <w:lang w:val="en-GB" w:eastAsia="en-GB"/>
            </w:rPr>
          </w:pPr>
          <w:hyperlink w:anchor="_Toc129039826" w:history="1">
            <w:r>
              <w:rPr>
                <w:rStyle w:val="Hyperkobling"/>
                <w:b/>
                <w:bCs/>
                <w:noProof/>
                <w:lang w:val="en-GB"/>
              </w:rPr>
              <w:t>Opportunity 2: Make full use of disability inclusion policy marker results for learning</w:t>
            </w:r>
            <w:r>
              <w:rPr>
                <w:noProof/>
                <w:webHidden/>
              </w:rPr>
              <w:tab/>
            </w:r>
            <w:r>
              <w:rPr>
                <w:noProof/>
                <w:webHidden/>
              </w:rPr>
              <w:fldChar w:fldCharType="begin"/>
            </w:r>
            <w:r>
              <w:rPr>
                <w:noProof/>
                <w:webHidden/>
              </w:rPr>
              <w:instrText xml:space="preserve"> PAGEREF _Toc129039826 \h </w:instrText>
            </w:r>
            <w:r>
              <w:rPr>
                <w:noProof/>
                <w:webHidden/>
              </w:rPr>
            </w:r>
            <w:r>
              <w:rPr>
                <w:noProof/>
                <w:webHidden/>
              </w:rPr>
              <w:fldChar w:fldCharType="separate"/>
            </w:r>
            <w:r>
              <w:rPr>
                <w:noProof/>
                <w:webHidden/>
              </w:rPr>
              <w:t>11</w:t>
            </w:r>
            <w:r>
              <w:rPr>
                <w:noProof/>
                <w:webHidden/>
              </w:rPr>
              <w:fldChar w:fldCharType="end"/>
            </w:r>
          </w:hyperlink>
        </w:p>
        <w:p w14:paraId="3F8C135D" w14:textId="36B28B4E" w:rsidR="008E1DEF" w:rsidRDefault="00000000">
          <w:pPr>
            <w:pStyle w:val="INNH3"/>
            <w:tabs>
              <w:tab w:val="right" w:leader="dot" w:pos="9016"/>
            </w:tabs>
            <w:rPr>
              <w:rFonts w:eastAsiaTheme="minorEastAsia"/>
              <w:noProof/>
              <w:lang w:val="en-GB" w:eastAsia="en-GB"/>
            </w:rPr>
          </w:pPr>
          <w:hyperlink w:anchor="_Toc129039827" w:history="1">
            <w:r>
              <w:rPr>
                <w:rStyle w:val="Hyperkobling"/>
                <w:b/>
                <w:bCs/>
                <w:noProof/>
                <w:lang w:val="en-GB"/>
              </w:rPr>
              <w:t>Opportunity 3: Drive up data quality</w:t>
            </w:r>
            <w:r>
              <w:rPr>
                <w:noProof/>
                <w:webHidden/>
              </w:rPr>
              <w:tab/>
            </w:r>
            <w:r>
              <w:rPr>
                <w:noProof/>
                <w:webHidden/>
              </w:rPr>
              <w:fldChar w:fldCharType="begin"/>
            </w:r>
            <w:r>
              <w:rPr>
                <w:noProof/>
                <w:webHidden/>
              </w:rPr>
              <w:instrText xml:space="preserve"> PAGEREF _Toc129039827 \h </w:instrText>
            </w:r>
            <w:r>
              <w:rPr>
                <w:noProof/>
                <w:webHidden/>
              </w:rPr>
            </w:r>
            <w:r>
              <w:rPr>
                <w:noProof/>
                <w:webHidden/>
              </w:rPr>
              <w:fldChar w:fldCharType="separate"/>
            </w:r>
            <w:r>
              <w:rPr>
                <w:noProof/>
                <w:webHidden/>
              </w:rPr>
              <w:t>16</w:t>
            </w:r>
            <w:r>
              <w:rPr>
                <w:noProof/>
                <w:webHidden/>
              </w:rPr>
              <w:fldChar w:fldCharType="end"/>
            </w:r>
          </w:hyperlink>
        </w:p>
        <w:p w14:paraId="7BCFB27E" w14:textId="7D10F10A" w:rsidR="008E1DEF" w:rsidRDefault="00000000">
          <w:pPr>
            <w:pStyle w:val="INNH3"/>
            <w:tabs>
              <w:tab w:val="right" w:leader="dot" w:pos="9016"/>
            </w:tabs>
            <w:rPr>
              <w:rFonts w:eastAsiaTheme="minorEastAsia"/>
              <w:noProof/>
              <w:lang w:val="en-GB" w:eastAsia="en-GB"/>
            </w:rPr>
          </w:pPr>
          <w:hyperlink w:anchor="_Toc129039828" w:history="1">
            <w:r>
              <w:rPr>
                <w:rStyle w:val="Hyperkobling"/>
                <w:b/>
                <w:bCs/>
                <w:noProof/>
                <w:lang w:val="en-GB"/>
              </w:rPr>
              <w:t>Opportunity 4: Fine-tune the criteria for applying the disability inclusion policy marker</w:t>
            </w:r>
            <w:r>
              <w:rPr>
                <w:noProof/>
                <w:webHidden/>
              </w:rPr>
              <w:tab/>
            </w:r>
            <w:r>
              <w:rPr>
                <w:noProof/>
                <w:webHidden/>
              </w:rPr>
              <w:fldChar w:fldCharType="begin"/>
            </w:r>
            <w:r>
              <w:rPr>
                <w:noProof/>
                <w:webHidden/>
              </w:rPr>
              <w:instrText xml:space="preserve"> PAGEREF _Toc129039828 \h </w:instrText>
            </w:r>
            <w:r>
              <w:rPr>
                <w:noProof/>
                <w:webHidden/>
              </w:rPr>
            </w:r>
            <w:r>
              <w:rPr>
                <w:noProof/>
                <w:webHidden/>
              </w:rPr>
              <w:fldChar w:fldCharType="separate"/>
            </w:r>
            <w:r>
              <w:rPr>
                <w:noProof/>
                <w:webHidden/>
              </w:rPr>
              <w:t>19</w:t>
            </w:r>
            <w:r>
              <w:rPr>
                <w:noProof/>
                <w:webHidden/>
              </w:rPr>
              <w:fldChar w:fldCharType="end"/>
            </w:r>
          </w:hyperlink>
        </w:p>
        <w:p w14:paraId="69FF9890" w14:textId="5AEC02B0" w:rsidR="008E1DEF" w:rsidRDefault="00000000">
          <w:pPr>
            <w:pStyle w:val="INNH2"/>
            <w:tabs>
              <w:tab w:val="right" w:leader="dot" w:pos="9016"/>
            </w:tabs>
            <w:rPr>
              <w:rFonts w:eastAsiaTheme="minorEastAsia"/>
              <w:noProof/>
              <w:lang w:val="en-GB" w:eastAsia="en-GB"/>
            </w:rPr>
          </w:pPr>
          <w:hyperlink w:anchor="_Toc129039829" w:history="1">
            <w:r>
              <w:rPr>
                <w:rStyle w:val="Hyperkobling"/>
                <w:noProof/>
              </w:rPr>
              <w:t>Conclusion</w:t>
            </w:r>
            <w:r>
              <w:rPr>
                <w:noProof/>
                <w:webHidden/>
              </w:rPr>
              <w:tab/>
            </w:r>
            <w:r>
              <w:rPr>
                <w:noProof/>
                <w:webHidden/>
              </w:rPr>
              <w:fldChar w:fldCharType="begin"/>
            </w:r>
            <w:r>
              <w:rPr>
                <w:noProof/>
                <w:webHidden/>
              </w:rPr>
              <w:instrText xml:space="preserve"> PAGEREF _Toc129039829 \h </w:instrText>
            </w:r>
            <w:r>
              <w:rPr>
                <w:noProof/>
                <w:webHidden/>
              </w:rPr>
            </w:r>
            <w:r>
              <w:rPr>
                <w:noProof/>
                <w:webHidden/>
              </w:rPr>
              <w:fldChar w:fldCharType="separate"/>
            </w:r>
            <w:r>
              <w:rPr>
                <w:noProof/>
                <w:webHidden/>
              </w:rPr>
              <w:t>26</w:t>
            </w:r>
            <w:r>
              <w:rPr>
                <w:noProof/>
                <w:webHidden/>
              </w:rPr>
              <w:fldChar w:fldCharType="end"/>
            </w:r>
          </w:hyperlink>
        </w:p>
        <w:p w14:paraId="0D8CB1D8" w14:textId="42307659" w:rsidR="008E1DEF" w:rsidRDefault="00000000">
          <w:pPr>
            <w:pStyle w:val="INNH2"/>
            <w:tabs>
              <w:tab w:val="right" w:leader="dot" w:pos="9016"/>
            </w:tabs>
            <w:rPr>
              <w:rFonts w:eastAsiaTheme="minorEastAsia"/>
              <w:noProof/>
              <w:lang w:val="en-GB" w:eastAsia="en-GB"/>
            </w:rPr>
          </w:pPr>
          <w:hyperlink w:anchor="_Toc129039830" w:history="1">
            <w:r>
              <w:rPr>
                <w:rStyle w:val="Hyperkobling"/>
                <w:noProof/>
              </w:rPr>
              <w:t>Document credit and acknowledgements</w:t>
            </w:r>
            <w:r>
              <w:rPr>
                <w:noProof/>
                <w:webHidden/>
              </w:rPr>
              <w:tab/>
            </w:r>
            <w:r>
              <w:rPr>
                <w:noProof/>
                <w:webHidden/>
              </w:rPr>
              <w:fldChar w:fldCharType="begin"/>
            </w:r>
            <w:r>
              <w:rPr>
                <w:noProof/>
                <w:webHidden/>
              </w:rPr>
              <w:instrText xml:space="preserve"> PAGEREF _Toc129039830 \h </w:instrText>
            </w:r>
            <w:r>
              <w:rPr>
                <w:noProof/>
                <w:webHidden/>
              </w:rPr>
            </w:r>
            <w:r>
              <w:rPr>
                <w:noProof/>
                <w:webHidden/>
              </w:rPr>
              <w:fldChar w:fldCharType="separate"/>
            </w:r>
            <w:r>
              <w:rPr>
                <w:noProof/>
                <w:webHidden/>
              </w:rPr>
              <w:t>26</w:t>
            </w:r>
            <w:r>
              <w:rPr>
                <w:noProof/>
                <w:webHidden/>
              </w:rPr>
              <w:fldChar w:fldCharType="end"/>
            </w:r>
          </w:hyperlink>
        </w:p>
        <w:p w14:paraId="698F63AA" w14:textId="7234DA59" w:rsidR="008E1DEF" w:rsidRDefault="00000000">
          <w:pPr>
            <w:pStyle w:val="INNH2"/>
            <w:tabs>
              <w:tab w:val="right" w:leader="dot" w:pos="9016"/>
            </w:tabs>
            <w:rPr>
              <w:rFonts w:eastAsiaTheme="minorEastAsia"/>
              <w:noProof/>
              <w:lang w:val="en-GB" w:eastAsia="en-GB"/>
            </w:rPr>
          </w:pPr>
          <w:hyperlink w:anchor="_Toc129039831" w:history="1">
            <w:r>
              <w:rPr>
                <w:rStyle w:val="Hyperkobling"/>
                <w:noProof/>
              </w:rPr>
              <w:t>Annex 1: Further reading</w:t>
            </w:r>
            <w:r>
              <w:rPr>
                <w:noProof/>
                <w:webHidden/>
              </w:rPr>
              <w:tab/>
            </w:r>
            <w:r>
              <w:rPr>
                <w:noProof/>
                <w:webHidden/>
              </w:rPr>
              <w:fldChar w:fldCharType="begin"/>
            </w:r>
            <w:r>
              <w:rPr>
                <w:noProof/>
                <w:webHidden/>
              </w:rPr>
              <w:instrText xml:space="preserve"> PAGEREF _Toc129039831 \h </w:instrText>
            </w:r>
            <w:r>
              <w:rPr>
                <w:noProof/>
                <w:webHidden/>
              </w:rPr>
            </w:r>
            <w:r>
              <w:rPr>
                <w:noProof/>
                <w:webHidden/>
              </w:rPr>
              <w:fldChar w:fldCharType="separate"/>
            </w:r>
            <w:r>
              <w:rPr>
                <w:noProof/>
                <w:webHidden/>
              </w:rPr>
              <w:t>26</w:t>
            </w:r>
            <w:r>
              <w:rPr>
                <w:noProof/>
                <w:webHidden/>
              </w:rPr>
              <w:fldChar w:fldCharType="end"/>
            </w:r>
          </w:hyperlink>
        </w:p>
        <w:p w14:paraId="3CEF5370" w14:textId="436ACD25" w:rsidR="008E1DEF" w:rsidRDefault="00000000">
          <w:pPr>
            <w:pStyle w:val="INNH2"/>
            <w:tabs>
              <w:tab w:val="right" w:leader="dot" w:pos="9016"/>
            </w:tabs>
            <w:rPr>
              <w:rFonts w:eastAsiaTheme="minorEastAsia"/>
              <w:noProof/>
              <w:lang w:val="en-GB" w:eastAsia="en-GB"/>
            </w:rPr>
          </w:pPr>
          <w:hyperlink w:anchor="_Toc129039832" w:history="1">
            <w:r>
              <w:rPr>
                <w:rStyle w:val="Hyperkobling"/>
                <w:noProof/>
              </w:rPr>
              <w:t>Annex 2: Further issues to consider with respect to the recommendations in the mapping of efforts to include persons with disabilities in Norwegian development assistance</w:t>
            </w:r>
            <w:r>
              <w:rPr>
                <w:noProof/>
                <w:webHidden/>
              </w:rPr>
              <w:tab/>
            </w:r>
            <w:r>
              <w:rPr>
                <w:noProof/>
                <w:webHidden/>
              </w:rPr>
              <w:fldChar w:fldCharType="begin"/>
            </w:r>
            <w:r>
              <w:rPr>
                <w:noProof/>
                <w:webHidden/>
              </w:rPr>
              <w:instrText xml:space="preserve"> PAGEREF _Toc129039832 \h </w:instrText>
            </w:r>
            <w:r>
              <w:rPr>
                <w:noProof/>
                <w:webHidden/>
              </w:rPr>
            </w:r>
            <w:r>
              <w:rPr>
                <w:noProof/>
                <w:webHidden/>
              </w:rPr>
              <w:fldChar w:fldCharType="separate"/>
            </w:r>
            <w:r>
              <w:rPr>
                <w:noProof/>
                <w:webHidden/>
              </w:rPr>
              <w:t>27</w:t>
            </w:r>
            <w:r>
              <w:rPr>
                <w:noProof/>
                <w:webHidden/>
              </w:rPr>
              <w:fldChar w:fldCharType="end"/>
            </w:r>
          </w:hyperlink>
        </w:p>
        <w:p w14:paraId="4460D1FE" w14:textId="1FBD7479" w:rsidR="008E1DEF" w:rsidRDefault="00000000">
          <w:pPr>
            <w:pStyle w:val="INNH2"/>
            <w:tabs>
              <w:tab w:val="right" w:leader="dot" w:pos="9016"/>
            </w:tabs>
            <w:rPr>
              <w:rFonts w:eastAsiaTheme="minorEastAsia"/>
              <w:noProof/>
              <w:lang w:val="en-GB" w:eastAsia="en-GB"/>
            </w:rPr>
          </w:pPr>
          <w:hyperlink w:anchor="_Toc129039833" w:history="1">
            <w:r>
              <w:rPr>
                <w:rStyle w:val="Hyperkobling"/>
                <w:noProof/>
              </w:rPr>
              <w:t>Annex 3: Methodology</w:t>
            </w:r>
            <w:r>
              <w:rPr>
                <w:noProof/>
                <w:webHidden/>
              </w:rPr>
              <w:tab/>
            </w:r>
            <w:r>
              <w:rPr>
                <w:noProof/>
                <w:webHidden/>
              </w:rPr>
              <w:fldChar w:fldCharType="begin"/>
            </w:r>
            <w:r>
              <w:rPr>
                <w:noProof/>
                <w:webHidden/>
              </w:rPr>
              <w:instrText xml:space="preserve"> PAGEREF _Toc129039833 \h </w:instrText>
            </w:r>
            <w:r>
              <w:rPr>
                <w:noProof/>
                <w:webHidden/>
              </w:rPr>
            </w:r>
            <w:r>
              <w:rPr>
                <w:noProof/>
                <w:webHidden/>
              </w:rPr>
              <w:fldChar w:fldCharType="separate"/>
            </w:r>
            <w:r>
              <w:rPr>
                <w:noProof/>
                <w:webHidden/>
              </w:rPr>
              <w:t>33</w:t>
            </w:r>
            <w:r>
              <w:rPr>
                <w:noProof/>
                <w:webHidden/>
              </w:rPr>
              <w:fldChar w:fldCharType="end"/>
            </w:r>
          </w:hyperlink>
        </w:p>
        <w:p w14:paraId="1AB270C9" w14:textId="5164E31A" w:rsidR="008E1DEF" w:rsidRDefault="00000000">
          <w:r>
            <w:rPr>
              <w:b/>
              <w:bCs/>
              <w:noProof/>
            </w:rPr>
            <w:fldChar w:fldCharType="end"/>
          </w:r>
        </w:p>
        <w:p w14:paraId="62CE201E" w14:textId="77777777" w:rsidR="008E1DEF" w:rsidRDefault="00000000">
          <w:pPr>
            <w:pStyle w:val="Overskrift2"/>
          </w:pPr>
        </w:p>
      </w:sdtContent>
    </w:sdt>
    <w:p w14:paraId="59F9174E" w14:textId="77777777" w:rsidR="008E1DEF" w:rsidRDefault="00000000">
      <w:pPr>
        <w:pStyle w:val="Overskrift2"/>
      </w:pPr>
      <w:r>
        <w:br/>
      </w:r>
    </w:p>
    <w:p w14:paraId="4C74D098" w14:textId="77777777" w:rsidR="008E1DEF" w:rsidRDefault="00000000">
      <w:pPr>
        <w:rPr>
          <w:rFonts w:asciiTheme="majorHAnsi" w:eastAsiaTheme="majorEastAsia" w:hAnsiTheme="majorHAnsi" w:cstheme="majorBidi"/>
          <w:b/>
          <w:bCs/>
          <w:color w:val="4472C4" w:themeColor="accent1"/>
          <w:sz w:val="28"/>
          <w:szCs w:val="26"/>
          <w:lang w:val="en-GB"/>
        </w:rPr>
      </w:pPr>
      <w:r>
        <w:br w:type="page"/>
      </w:r>
    </w:p>
    <w:p w14:paraId="3EE01573" w14:textId="43FFEEB1" w:rsidR="008E1DEF" w:rsidRDefault="00000000">
      <w:pPr>
        <w:pStyle w:val="Overskrift2"/>
      </w:pPr>
      <w:bookmarkStart w:id="0" w:name="_Toc129039818"/>
      <w:r>
        <w:lastRenderedPageBreak/>
        <w:t>Summary</w:t>
      </w:r>
      <w:bookmarkEnd w:id="0"/>
      <w:r>
        <w:t xml:space="preserve"> </w:t>
      </w:r>
    </w:p>
    <w:p w14:paraId="35A3B186" w14:textId="254C9144" w:rsidR="008E1DEF" w:rsidRDefault="00000000">
      <w:pPr>
        <w:rPr>
          <w:lang w:val="en-GB"/>
        </w:rPr>
      </w:pPr>
      <w:r>
        <w:rPr>
          <w:lang w:val="en-GB"/>
        </w:rPr>
        <w:t xml:space="preserve">The Organisation for Economic Cooperation and Development-Development Assistance Committee’s (OECD-DAC’s) disability inclusion policy marker has important potential as a tool to drive progress towards disability-inclusive development cooperation and humanitarian action. This report offers a brief stock-take of how the marker has been used in its first four years and highlights four opportunities to build further on progress so far. </w:t>
      </w:r>
    </w:p>
    <w:p w14:paraId="63DE25DD" w14:textId="3D1D10A6" w:rsidR="008E1DEF" w:rsidRDefault="00000000">
      <w:pPr>
        <w:rPr>
          <w:lang w:val="en-GB"/>
        </w:rPr>
      </w:pPr>
      <w:r>
        <w:rPr>
          <w:lang w:val="en-GB"/>
        </w:rPr>
        <w:t xml:space="preserve">First, there are opportunities to </w:t>
      </w:r>
      <w:r>
        <w:rPr>
          <w:b/>
          <w:bCs/>
          <w:lang w:val="en-GB"/>
        </w:rPr>
        <w:t>make greater use of the disability inclusion policy marker</w:t>
      </w:r>
      <w:r>
        <w:rPr>
          <w:lang w:val="en-GB"/>
        </w:rPr>
        <w:t xml:space="preserve">. Interest in disability policy markers is growing, and two out of three OECD-DAC members are already using the disability inclusion policy marker to report on at least </w:t>
      </w:r>
      <w:r>
        <w:rPr>
          <w:b/>
          <w:bCs/>
          <w:lang w:val="en-GB"/>
        </w:rPr>
        <w:t>some</w:t>
      </w:r>
      <w:r>
        <w:rPr>
          <w:lang w:val="en-GB"/>
        </w:rPr>
        <w:t xml:space="preserve"> of their Official Development Assistance (ODA) projects. But uptake of the marker is not obligatory, and use of the marker is variable among some of the biggest OECD-DAC </w:t>
      </w:r>
      <w:proofErr w:type="gramStart"/>
      <w:r>
        <w:rPr>
          <w:lang w:val="en-GB"/>
        </w:rPr>
        <w:t>members in particular</w:t>
      </w:r>
      <w:proofErr w:type="gramEnd"/>
      <w:r>
        <w:rPr>
          <w:lang w:val="en-GB"/>
        </w:rPr>
        <w:t>. Looking at all allocable</w:t>
      </w:r>
      <w:r>
        <w:rPr>
          <w:rStyle w:val="Fotnotereferanse"/>
          <w:lang w:val="en-GB"/>
        </w:rPr>
        <w:footnoteReference w:id="1"/>
      </w:r>
      <w:r>
        <w:rPr>
          <w:lang w:val="en-GB"/>
        </w:rPr>
        <w:t xml:space="preserve"> ODA projects reported by OECD-DAC members in 2021 (the most recent year for which data are available), </w:t>
      </w:r>
      <w:r>
        <w:rPr>
          <w:b/>
          <w:bCs/>
          <w:lang w:val="en-GB"/>
        </w:rPr>
        <w:t>over half did not make any use of the disability inclusion policy marker</w:t>
      </w:r>
      <w:r>
        <w:rPr>
          <w:lang w:val="en-GB"/>
        </w:rPr>
        <w:t>.</w:t>
      </w:r>
    </w:p>
    <w:p w14:paraId="5C5F745D" w14:textId="77777777" w:rsidR="008E1DEF" w:rsidRDefault="00000000">
      <w:pPr>
        <w:rPr>
          <w:lang w:val="en-GB"/>
        </w:rPr>
      </w:pPr>
      <w:r>
        <w:rPr>
          <w:lang w:val="en-GB"/>
        </w:rPr>
        <w:t xml:space="preserve">Second, there are opportunities to </w:t>
      </w:r>
      <w:r>
        <w:rPr>
          <w:b/>
          <w:bCs/>
          <w:lang w:val="en-GB"/>
        </w:rPr>
        <w:t>make further use of disability inclusion policy marker results for learning</w:t>
      </w:r>
      <w:r>
        <w:rPr>
          <w:lang w:val="en-GB"/>
        </w:rPr>
        <w:t xml:space="preserve">. The marker is particularly valuable for learning both because it is usually applied at an early stage in the project cycle, and because marker data can be combined with a wide range of other data in the OECD-DAC database to develop </w:t>
      </w:r>
      <w:proofErr w:type="gramStart"/>
      <w:r>
        <w:rPr>
          <w:lang w:val="en-GB"/>
        </w:rPr>
        <w:t>finely-grained</w:t>
      </w:r>
      <w:proofErr w:type="gramEnd"/>
      <w:r>
        <w:rPr>
          <w:lang w:val="en-GB"/>
        </w:rPr>
        <w:t xml:space="preserve"> insights. A wide range of organisations of persons with disabilities, organisations from wider civil society, and researchers have already started to tap the marker’s learning potential, but there is much more that could be done.</w:t>
      </w:r>
    </w:p>
    <w:p w14:paraId="54FFEEE6" w14:textId="039FFE8F" w:rsidR="008E1DEF" w:rsidRDefault="00000000">
      <w:pPr>
        <w:rPr>
          <w:lang w:val="en-GB"/>
        </w:rPr>
      </w:pPr>
      <w:r>
        <w:rPr>
          <w:lang w:val="en-GB"/>
        </w:rPr>
        <w:t xml:space="preserve">Third, there are opportunities to </w:t>
      </w:r>
      <w:r>
        <w:rPr>
          <w:b/>
          <w:bCs/>
          <w:lang w:val="en-GB"/>
        </w:rPr>
        <w:t>drive up data quality</w:t>
      </w:r>
      <w:r>
        <w:rPr>
          <w:lang w:val="en-GB"/>
        </w:rPr>
        <w:t xml:space="preserve">. Disability inclusion policy marker data are self-reported by different OECD-DAC members, and available evidence suggests that the quality of reporting may vary. Even </w:t>
      </w:r>
      <w:r>
        <w:rPr>
          <w:b/>
          <w:bCs/>
          <w:lang w:val="en-GB"/>
        </w:rPr>
        <w:t>imperfect</w:t>
      </w:r>
      <w:r>
        <w:rPr>
          <w:lang w:val="en-GB"/>
        </w:rPr>
        <w:t xml:space="preserve"> disability inclusion policy marker data have considerable value as a starting point for learning. But the more OECD-DAC members increase the reliability and comparability of marker data – for example, by learning from good practices developed in the context of gender equality markers, and by enhancing transparency so that outside stakeholders can be more actively involved in assessing data quality – the greater the marker’s value will be.</w:t>
      </w:r>
    </w:p>
    <w:p w14:paraId="797CC298" w14:textId="4620DE90" w:rsidR="008E1DEF" w:rsidRDefault="00000000">
      <w:pPr>
        <w:rPr>
          <w:lang w:val="en-GB"/>
        </w:rPr>
      </w:pPr>
      <w:r>
        <w:rPr>
          <w:lang w:val="en-GB"/>
        </w:rPr>
        <w:t xml:space="preserve">Fourth, there are opportunities to </w:t>
      </w:r>
      <w:r>
        <w:rPr>
          <w:b/>
          <w:bCs/>
          <w:lang w:val="en-GB"/>
        </w:rPr>
        <w:t xml:space="preserve">fine-tune disability inclusion policy marker data. </w:t>
      </w:r>
      <w:r>
        <w:rPr>
          <w:lang w:val="en-GB"/>
        </w:rPr>
        <w:t>The current guidance for applying the marker has some gaps – notably around « doing no harm » and around the active involvement of persons with disabilities and their representative organisations. Many of these gaps could readily be filled if the guidance on the disability inclusion policy marker more closely aligned to the level of detail in the OECD-DAC’s guidance on the gender equality policy marker.</w:t>
      </w:r>
    </w:p>
    <w:p w14:paraId="424247A4" w14:textId="2342F731" w:rsidR="008E1DEF" w:rsidRDefault="00000000">
      <w:pPr>
        <w:rPr>
          <w:lang w:val="en-GB"/>
        </w:rPr>
      </w:pPr>
      <w:r>
        <w:rPr>
          <w:lang w:val="en-GB"/>
        </w:rPr>
        <w:t xml:space="preserve">According to the most recent release of OECD-DAC data, in 2021 only </w:t>
      </w:r>
      <w:r>
        <w:rPr>
          <w:b/>
          <w:bCs/>
          <w:lang w:val="en-GB"/>
        </w:rPr>
        <w:t xml:space="preserve">around 4.2% of all OECD-DAC members’ allocable ODA projects, including both development cooperation and humanitarian assistance, were reported to have objectives relating to the inclusion of persons with disabilities. </w:t>
      </w:r>
      <w:r>
        <w:rPr>
          <w:lang w:val="en-GB"/>
        </w:rPr>
        <w:t xml:space="preserve">This statistic illustrates starkly just how far OECD-DAC members </w:t>
      </w:r>
      <w:proofErr w:type="gramStart"/>
      <w:r>
        <w:rPr>
          <w:lang w:val="en-GB"/>
        </w:rPr>
        <w:t>have to</w:t>
      </w:r>
      <w:proofErr w:type="gramEnd"/>
      <w:r>
        <w:rPr>
          <w:lang w:val="en-GB"/>
        </w:rPr>
        <w:t xml:space="preserve"> go to uphold their obligations and commitments on equality and inclusion of persons with disabilities. It also illustrates why it is so important to have an effective disability inclusion policy marker – to help sound the alarm, and then to offer insights into where there is most room for improvement. It is hoped this short report, and the discussions that follow, can be one small contribution to helping the marker deliver on its full potential.</w:t>
      </w:r>
    </w:p>
    <w:p w14:paraId="03C33353" w14:textId="77777777" w:rsidR="008E1DEF" w:rsidRDefault="00000000">
      <w:pPr>
        <w:pStyle w:val="Overskrift2"/>
      </w:pPr>
      <w:bookmarkStart w:id="1" w:name="_Toc129039819"/>
      <w:r>
        <w:lastRenderedPageBreak/>
        <w:t>Introduction</w:t>
      </w:r>
      <w:bookmarkEnd w:id="1"/>
    </w:p>
    <w:p w14:paraId="7294BB56" w14:textId="77777777" w:rsidR="008E1DEF" w:rsidRDefault="00000000">
      <w:pPr>
        <w:pStyle w:val="Overskrift3"/>
        <w:rPr>
          <w:b/>
          <w:bCs/>
          <w:lang w:val="en-GB"/>
        </w:rPr>
      </w:pPr>
      <w:bookmarkStart w:id="2" w:name="_Toc129039820"/>
      <w:r>
        <w:rPr>
          <w:b/>
          <w:bCs/>
          <w:lang w:val="en-GB"/>
        </w:rPr>
        <w:t>Context</w:t>
      </w:r>
      <w:bookmarkEnd w:id="2"/>
    </w:p>
    <w:p w14:paraId="4EE3B752" w14:textId="26907F25" w:rsidR="008E1DEF" w:rsidRDefault="00000000">
      <w:pPr>
        <w:rPr>
          <w:lang w:val="en-GB"/>
        </w:rPr>
      </w:pPr>
      <w:r>
        <w:rPr>
          <w:lang w:val="en-GB"/>
        </w:rPr>
        <w:t>The imperative to promote equality and inclusion of persons with disabilities in international development cooperation and humanitarian assistance is enshrined as an obligation in the UN Convention on the Rights of Persons with Disabilities</w:t>
      </w:r>
      <w:r>
        <w:rPr>
          <w:rStyle w:val="Fotnotereferanse"/>
          <w:lang w:val="en-GB"/>
        </w:rPr>
        <w:footnoteReference w:id="2"/>
      </w:r>
      <w:r>
        <w:rPr>
          <w:lang w:val="en-GB"/>
        </w:rPr>
        <w:t xml:space="preserve"> and further emphasised by Agenda 2030.</w:t>
      </w:r>
      <w:r>
        <w:rPr>
          <w:rStyle w:val="Fotnotereferanse"/>
          <w:lang w:val="en-GB"/>
        </w:rPr>
        <w:footnoteReference w:id="3"/>
      </w:r>
      <w:r>
        <w:rPr>
          <w:lang w:val="en-GB"/>
        </w:rPr>
        <w:t xml:space="preserve"> Now this imperative is increasingly being recognised at the policy level by stakeholders involved in official international development and humanitarian assistance. For example, at the 2022 Global Disability Summit, governments and « donors » made 65 commitments relating to « international cooperation, disability inclusive development and joint cooperation », and multilateral agencies made a further 60 such commitments.</w:t>
      </w:r>
      <w:r>
        <w:rPr>
          <w:rStyle w:val="Fotnotereferanse"/>
          <w:lang w:val="en-GB"/>
        </w:rPr>
        <w:footnoteReference w:id="4"/>
      </w:r>
    </w:p>
    <w:p w14:paraId="10FC9FFB" w14:textId="13DB83B1" w:rsidR="008E1DEF" w:rsidRDefault="00000000">
      <w:pPr>
        <w:rPr>
          <w:lang w:val="en-GB"/>
        </w:rPr>
      </w:pPr>
      <w:r>
        <w:rPr>
          <w:lang w:val="en-GB"/>
        </w:rPr>
        <w:t>Yet despite this positive momentum at the policy level, implementation remains a risk. Gaps frequently remain between aspirations on disability inclusion and equality, and the processes for putting these aspirations into practice.</w:t>
      </w:r>
      <w:r>
        <w:rPr>
          <w:rStyle w:val="Fotnotereferanse"/>
          <w:lang w:val="en-GB"/>
        </w:rPr>
        <w:footnoteReference w:id="5"/>
      </w:r>
      <w:r>
        <w:rPr>
          <w:lang w:val="en-GB"/>
        </w:rPr>
        <w:t xml:space="preserve"> And there is now a risk that escalating global crises – climate crisis, economic crisis, and conflict – will distract attention from the urgency of upholding the rights and equality of persons with disabilities across development cooperation and humanitarian action</w:t>
      </w:r>
      <w:r>
        <w:rPr>
          <w:rStyle w:val="Fotnotereferanse"/>
          <w:lang w:val="en-GB"/>
        </w:rPr>
        <w:footnoteReference w:id="6"/>
      </w:r>
      <w:r>
        <w:rPr>
          <w:lang w:val="en-GB"/>
        </w:rPr>
        <w:t xml:space="preserve"> – even though persons with disabilities are among the people most severely affected by these very crises.</w:t>
      </w:r>
      <w:r>
        <w:rPr>
          <w:rStyle w:val="Fotnotereferanse"/>
          <w:lang w:val="en-GB"/>
        </w:rPr>
        <w:footnoteReference w:id="7"/>
      </w:r>
      <w:r>
        <w:rPr>
          <w:rFonts w:ascii="," w:hAnsi=","/>
          <w:vertAlign w:val="superscript"/>
          <w:lang w:val="en-GB"/>
        </w:rPr>
        <w:t>,</w:t>
      </w:r>
      <w:r>
        <w:rPr>
          <w:rStyle w:val="Fotnotereferanse"/>
          <w:lang w:val="en-GB"/>
        </w:rPr>
        <w:footnoteReference w:id="8"/>
      </w:r>
      <w:r>
        <w:rPr>
          <w:rFonts w:ascii="," w:hAnsi=","/>
          <w:vertAlign w:val="superscript"/>
          <w:lang w:val="en-GB"/>
        </w:rPr>
        <w:t>,</w:t>
      </w:r>
      <w:r>
        <w:rPr>
          <w:rStyle w:val="Fotnotereferanse"/>
          <w:lang w:val="en-GB"/>
        </w:rPr>
        <w:footnoteReference w:id="9"/>
      </w:r>
      <w:r>
        <w:rPr>
          <w:rStyle w:val="Fotnotereferanse"/>
          <w:lang w:val="en-GB"/>
        </w:rPr>
        <w:t xml:space="preserve"> </w:t>
      </w:r>
      <w:r>
        <w:rPr>
          <w:lang w:val="en-GB"/>
        </w:rPr>
        <w:t xml:space="preserve"> </w:t>
      </w:r>
    </w:p>
    <w:p w14:paraId="469215D5" w14:textId="77777777" w:rsidR="008E1DEF" w:rsidRDefault="00000000">
      <w:pPr>
        <w:rPr>
          <w:lang w:val="en-GB"/>
        </w:rPr>
      </w:pPr>
      <w:r>
        <w:rPr>
          <w:lang w:val="en-GB"/>
        </w:rPr>
        <w:t xml:space="preserve">This makes it essential to have effective tools for monitoring how far governments and other stakeholders involved in official international development and humanitarian assistance are fulfilling their obligations and commitments on equality and inclusion of persons with disabilities. </w:t>
      </w:r>
      <w:r>
        <w:rPr>
          <w:b/>
          <w:bCs/>
          <w:lang w:val="en-GB"/>
        </w:rPr>
        <w:t xml:space="preserve">Disability policy </w:t>
      </w:r>
      <w:proofErr w:type="spellStart"/>
      <w:r>
        <w:rPr>
          <w:b/>
          <w:bCs/>
          <w:lang w:val="en-GB"/>
        </w:rPr>
        <w:t>markers</w:t>
      </w:r>
      <w:proofErr w:type="spellEnd"/>
      <w:r>
        <w:rPr>
          <w:lang w:val="en-GB"/>
        </w:rPr>
        <w:t xml:space="preserve"> are one important element in such a toolbox.</w:t>
      </w:r>
    </w:p>
    <w:p w14:paraId="6D5C6850" w14:textId="77777777" w:rsidR="008E1DEF" w:rsidRDefault="00000000">
      <w:pPr>
        <w:pStyle w:val="Overskrift3"/>
        <w:rPr>
          <w:b/>
          <w:bCs/>
          <w:lang w:val="en-GB"/>
        </w:rPr>
      </w:pPr>
      <w:bookmarkStart w:id="3" w:name="_Toc129039821"/>
      <w:r>
        <w:rPr>
          <w:b/>
          <w:bCs/>
          <w:lang w:val="en-GB"/>
        </w:rPr>
        <w:t>Disability policy markers</w:t>
      </w:r>
      <w:bookmarkEnd w:id="3"/>
    </w:p>
    <w:p w14:paraId="0D1AC066" w14:textId="77777777" w:rsidR="008E1DEF" w:rsidRDefault="00000000">
      <w:pPr>
        <w:rPr>
          <w:lang w:val="en-GB"/>
        </w:rPr>
      </w:pPr>
      <w:r>
        <w:rPr>
          <w:lang w:val="en-GB"/>
        </w:rPr>
        <w:t xml:space="preserve">Disability policy </w:t>
      </w:r>
      <w:proofErr w:type="spellStart"/>
      <w:r>
        <w:rPr>
          <w:lang w:val="en-GB"/>
        </w:rPr>
        <w:t>markers</w:t>
      </w:r>
      <w:proofErr w:type="spellEnd"/>
      <w:r>
        <w:rPr>
          <w:lang w:val="en-GB"/>
        </w:rPr>
        <w:t xml:space="preserve"> are a tool that allows each international development or humanitarian project to be given a score, based on how far the project’s objectives and plans take inclusion and equality into account. The results for individual projects can then be combined, to give an overall indication of how far an organisation has paid attention to inclusion and equality of persons with disabilities across its international development and humanitarian assistance </w:t>
      </w:r>
      <w:proofErr w:type="gramStart"/>
      <w:r>
        <w:rPr>
          <w:lang w:val="en-GB"/>
        </w:rPr>
        <w:t>spending as a whole</w:t>
      </w:r>
      <w:proofErr w:type="gramEnd"/>
      <w:r>
        <w:rPr>
          <w:lang w:val="en-GB"/>
        </w:rPr>
        <w:t>.</w:t>
      </w:r>
    </w:p>
    <w:p w14:paraId="5653BBEE" w14:textId="53EA6BD2" w:rsidR="008E1DEF" w:rsidRDefault="00000000">
      <w:pPr>
        <w:rPr>
          <w:lang w:val="en-GB"/>
        </w:rPr>
      </w:pPr>
      <w:r>
        <w:rPr>
          <w:lang w:val="en-GB"/>
        </w:rPr>
        <w:lastRenderedPageBreak/>
        <w:t>The most widely used disability policy marker is the marker adopted by the Organisation for Economic Cooperation and Development’s Development Assistance Committee (OECD-DAC). The OECD-DAC is an official multi-country body whose roles include publishing « official, verified and comparable data » on Official Development Assistance (ODA).</w:t>
      </w:r>
      <w:r>
        <w:rPr>
          <w:rStyle w:val="Fotnotereferanse"/>
          <w:lang w:val="en-GB"/>
        </w:rPr>
        <w:footnoteReference w:id="10"/>
      </w:r>
      <w:r>
        <w:rPr>
          <w:lang w:val="en-GB"/>
        </w:rPr>
        <w:t xml:space="preserve"> In 2018, following advocacy by civil society organisations and by supportive member governments, the OECD-DAC integrated a « policy marker on the inclusion and empowerment of persons with disabilities » into its central database on ODA spending. Further details of the OECD-DAC policy marker on the inclusion and empowerment of persons with disabilities (hereafter, the ‘disability inclusion policy marker’) are in Boxes 1 and 2.</w:t>
      </w:r>
    </w:p>
    <w:p w14:paraId="655D801C" w14:textId="0AED6A29" w:rsidR="008E1DEF" w:rsidRDefault="00000000">
      <w:pPr>
        <w:rPr>
          <w:b/>
          <w:bCs/>
          <w:lang w:val="en-GB"/>
        </w:rPr>
      </w:pPr>
      <w:r>
        <w:rPr>
          <w:b/>
          <w:bCs/>
          <w:lang w:val="en-GB"/>
        </w:rPr>
        <w:t xml:space="preserve">Box </w:t>
      </w:r>
      <w:proofErr w:type="gramStart"/>
      <w:r>
        <w:rPr>
          <w:b/>
          <w:bCs/>
          <w:lang w:val="en-GB"/>
        </w:rPr>
        <w:t>1 :</w:t>
      </w:r>
      <w:proofErr w:type="gramEnd"/>
      <w:r>
        <w:rPr>
          <w:b/>
          <w:bCs/>
          <w:lang w:val="en-GB"/>
        </w:rPr>
        <w:t xml:space="preserve"> The OECD-DAC disability inclusion policy marker: definitions and eligibility criteria </w:t>
      </w:r>
    </w:p>
    <w:tbl>
      <w:tblPr>
        <w:tblStyle w:val="Tabellrutenett"/>
        <w:tblW w:w="10201" w:type="dxa"/>
        <w:tblLook w:val="04A0" w:firstRow="1" w:lastRow="0" w:firstColumn="1" w:lastColumn="0" w:noHBand="0" w:noVBand="1"/>
      </w:tblPr>
      <w:tblGrid>
        <w:gridCol w:w="2972"/>
        <w:gridCol w:w="7229"/>
      </w:tblGrid>
      <w:tr w:rsidR="008E1DEF" w14:paraId="2027E793" w14:textId="77777777">
        <w:tc>
          <w:tcPr>
            <w:tcW w:w="2972" w:type="dxa"/>
          </w:tcPr>
          <w:p w14:paraId="4F08AC87" w14:textId="77777777" w:rsidR="008E1DEF" w:rsidRDefault="00000000">
            <w:pPr>
              <w:rPr>
                <w:b/>
                <w:bCs/>
                <w:lang w:val="en-GB"/>
              </w:rPr>
            </w:pPr>
            <w:r>
              <w:rPr>
                <w:b/>
                <w:bCs/>
                <w:lang w:val="en-GB"/>
              </w:rPr>
              <w:t xml:space="preserve">Definition </w:t>
            </w:r>
          </w:p>
          <w:p w14:paraId="1ACFA8A3" w14:textId="77777777" w:rsidR="008E1DEF" w:rsidRDefault="00000000">
            <w:pPr>
              <w:rPr>
                <w:lang w:val="en-GB"/>
              </w:rPr>
            </w:pPr>
            <w:r>
              <w:rPr>
                <w:lang w:val="en-GB"/>
              </w:rPr>
              <w:t>In accordance with the Convention on the Rights of Persons with Disabilities (</w:t>
            </w:r>
            <w:proofErr w:type="spellStart"/>
            <w:r>
              <w:rPr>
                <w:lang w:val="en-GB"/>
              </w:rPr>
              <w:t>CRPD</w:t>
            </w:r>
            <w:proofErr w:type="spellEnd"/>
            <w:r>
              <w:rPr>
                <w:lang w:val="en-GB"/>
              </w:rPr>
              <w:t xml:space="preserve">), persons with disabilities include those who have long-term physical, mental, </w:t>
            </w:r>
            <w:proofErr w:type="gramStart"/>
            <w:r>
              <w:rPr>
                <w:lang w:val="en-GB"/>
              </w:rPr>
              <w:t>intellectual</w:t>
            </w:r>
            <w:proofErr w:type="gramEnd"/>
            <w:r>
              <w:rPr>
                <w:lang w:val="en-GB"/>
              </w:rPr>
              <w:t xml:space="preserve"> or sensory impairments which in interaction with various barriers may hinder their full and effective participation in society on an equal basis with others.</w:t>
            </w:r>
          </w:p>
        </w:tc>
        <w:tc>
          <w:tcPr>
            <w:tcW w:w="7229" w:type="dxa"/>
          </w:tcPr>
          <w:p w14:paraId="2B8536C7" w14:textId="2C3604B2" w:rsidR="008E1DEF" w:rsidRDefault="00000000">
            <w:pPr>
              <w:rPr>
                <w:lang w:val="en-GB"/>
              </w:rPr>
            </w:pPr>
            <w:r>
              <w:rPr>
                <w:lang w:val="en-GB"/>
              </w:rPr>
              <w:t xml:space="preserve">Development co-operation activities are classified as being inclusive of persons with disabilities (scores Principal or Significant) if: </w:t>
            </w:r>
            <w:r>
              <w:rPr>
                <w:lang w:val="en-GB"/>
              </w:rPr>
              <w:br/>
            </w:r>
          </w:p>
          <w:p w14:paraId="309347A9" w14:textId="77777777" w:rsidR="008E1DEF" w:rsidRDefault="00000000">
            <w:pPr>
              <w:rPr>
                <w:lang w:val="en-GB"/>
              </w:rPr>
            </w:pPr>
            <w:r>
              <w:rPr>
                <w:lang w:val="en-GB"/>
              </w:rPr>
              <w:sym w:font="Symbol" w:char="F0B7"/>
            </w:r>
            <w:r>
              <w:rPr>
                <w:lang w:val="en-GB"/>
              </w:rPr>
              <w:t xml:space="preserve"> They have a deliberate objective of ensuring that persons with disabilities are included, and able to share the benefits, on an equal basis to persons without disabilities. Or</w:t>
            </w:r>
          </w:p>
          <w:p w14:paraId="1D30F04B" w14:textId="77777777" w:rsidR="008E1DEF" w:rsidRDefault="00000000">
            <w:pPr>
              <w:rPr>
                <w:lang w:val="en-GB"/>
              </w:rPr>
            </w:pPr>
            <w:r>
              <w:rPr>
                <w:lang w:val="en-GB"/>
              </w:rPr>
              <w:sym w:font="Symbol" w:char="F0B7"/>
            </w:r>
            <w:r>
              <w:rPr>
                <w:lang w:val="en-GB"/>
              </w:rPr>
              <w:t xml:space="preserve"> If they contribute to promote, </w:t>
            </w:r>
            <w:proofErr w:type="gramStart"/>
            <w:r>
              <w:rPr>
                <w:lang w:val="en-GB"/>
              </w:rPr>
              <w:t>protect</w:t>
            </w:r>
            <w:proofErr w:type="gramEnd"/>
            <w:r>
              <w:rPr>
                <w:lang w:val="en-GB"/>
              </w:rPr>
              <w:t xml:space="preserve"> and ensure the full and equal enjoyment of all human rights and fundamental freedoms by all persons with disabilities, and promote respect for their inherent dignity in line with Art. 1 of the Convention on the Rights of Persons with Disabilities. Or </w:t>
            </w:r>
          </w:p>
          <w:p w14:paraId="797F352D" w14:textId="77777777" w:rsidR="008E1DEF" w:rsidRDefault="00000000">
            <w:pPr>
              <w:rPr>
                <w:lang w:val="en-GB"/>
              </w:rPr>
            </w:pPr>
            <w:r>
              <w:rPr>
                <w:lang w:val="en-GB"/>
              </w:rPr>
              <w:sym w:font="Symbol" w:char="F0B7"/>
            </w:r>
            <w:r>
              <w:rPr>
                <w:lang w:val="en-GB"/>
              </w:rPr>
              <w:t xml:space="preserve"> If they support the ratification, implementation and/or monitoring of the Convention on the Rights of Persons with Disabilities.</w:t>
            </w:r>
          </w:p>
        </w:tc>
      </w:tr>
      <w:tr w:rsidR="008E1DEF" w14:paraId="5E149E7E" w14:textId="77777777">
        <w:tc>
          <w:tcPr>
            <w:tcW w:w="2972" w:type="dxa"/>
          </w:tcPr>
          <w:p w14:paraId="35EBBF5B" w14:textId="77777777" w:rsidR="008E1DEF" w:rsidRDefault="00000000">
            <w:pPr>
              <w:rPr>
                <w:b/>
                <w:bCs/>
                <w:lang w:val="en-GB"/>
              </w:rPr>
            </w:pPr>
            <w:r>
              <w:rPr>
                <w:b/>
                <w:bCs/>
                <w:lang w:val="en-GB"/>
              </w:rPr>
              <w:t>Eligibility criteria</w:t>
            </w:r>
          </w:p>
        </w:tc>
        <w:tc>
          <w:tcPr>
            <w:tcW w:w="7229" w:type="dxa"/>
          </w:tcPr>
          <w:p w14:paraId="3018CE71" w14:textId="77777777" w:rsidR="008E1DEF" w:rsidRDefault="00000000">
            <w:pPr>
              <w:rPr>
                <w:lang w:val="en-GB"/>
              </w:rPr>
            </w:pPr>
            <w:r>
              <w:rPr>
                <w:lang w:val="en-GB"/>
              </w:rPr>
              <w:t xml:space="preserve">Support to activities that contribute to respect, protection and fulfilment of the rights and inclusion of persons with disabilities, through specific measures explicitly promoted in activity documentation which: </w:t>
            </w:r>
          </w:p>
          <w:p w14:paraId="42B48A5C" w14:textId="2C02BB1F" w:rsidR="008E1DEF" w:rsidRDefault="00000000">
            <w:pPr>
              <w:rPr>
                <w:lang w:val="en-GB"/>
              </w:rPr>
            </w:pPr>
            <w:r>
              <w:rPr>
                <w:lang w:val="en-GB"/>
              </w:rPr>
              <w:sym w:font="Symbol" w:char="F0B7"/>
            </w:r>
            <w:r>
              <w:rPr>
                <w:lang w:val="en-GB"/>
              </w:rPr>
              <w:t xml:space="preserve"> Promote and protect the equal enjoyment of all human rights by all persons with disabilities and promote respect for their inherent dignity (</w:t>
            </w:r>
            <w:proofErr w:type="spellStart"/>
            <w:r>
              <w:rPr>
                <w:lang w:val="en-GB"/>
              </w:rPr>
              <w:t>CRPD</w:t>
            </w:r>
            <w:proofErr w:type="spellEnd"/>
            <w:r>
              <w:rPr>
                <w:lang w:val="en-GB"/>
              </w:rPr>
              <w:t xml:space="preserve"> Art. 1). </w:t>
            </w:r>
          </w:p>
          <w:p w14:paraId="232CC5F0" w14:textId="77777777" w:rsidR="008E1DEF" w:rsidRDefault="00000000">
            <w:pPr>
              <w:rPr>
                <w:lang w:val="en-GB"/>
              </w:rPr>
            </w:pPr>
            <w:r>
              <w:rPr>
                <w:lang w:val="en-GB"/>
              </w:rPr>
              <w:sym w:font="Symbol" w:char="F0B7"/>
            </w:r>
            <w:r>
              <w:rPr>
                <w:lang w:val="en-GB"/>
              </w:rPr>
              <w:t xml:space="preserve"> Ensure empowerment and accessibility for persons with disabilities to the physical, social, </w:t>
            </w:r>
            <w:proofErr w:type="gramStart"/>
            <w:r>
              <w:rPr>
                <w:lang w:val="en-GB"/>
              </w:rPr>
              <w:t>economic</w:t>
            </w:r>
            <w:proofErr w:type="gramEnd"/>
            <w:r>
              <w:rPr>
                <w:lang w:val="en-GB"/>
              </w:rPr>
              <w:t xml:space="preserve"> and cultural environment, to health and education and to information and communication. </w:t>
            </w:r>
          </w:p>
          <w:p w14:paraId="07B24BDA" w14:textId="77777777" w:rsidR="008E1DEF" w:rsidRDefault="00000000">
            <w:pPr>
              <w:rPr>
                <w:lang w:val="en-GB"/>
              </w:rPr>
            </w:pPr>
            <w:r>
              <w:rPr>
                <w:lang w:val="en-GB"/>
              </w:rPr>
              <w:sym w:font="Symbol" w:char="F0B7"/>
            </w:r>
            <w:r>
              <w:rPr>
                <w:lang w:val="en-GB"/>
              </w:rPr>
              <w:t xml:space="preserve"> Promote social, </w:t>
            </w:r>
            <w:proofErr w:type="gramStart"/>
            <w:r>
              <w:rPr>
                <w:lang w:val="en-GB"/>
              </w:rPr>
              <w:t>economic</w:t>
            </w:r>
            <w:proofErr w:type="gramEnd"/>
            <w:r>
              <w:rPr>
                <w:lang w:val="en-GB"/>
              </w:rPr>
              <w:t xml:space="preserve"> or political inclusion of persons with disabilities; or develop or strengthen policies, legislation or institutions in support of effective participation in society of persons with disabilities and/or their representative organisations</w:t>
            </w:r>
          </w:p>
        </w:tc>
      </w:tr>
    </w:tbl>
    <w:p w14:paraId="58113FBC" w14:textId="6E516230" w:rsidR="008E1DEF" w:rsidRDefault="00000000">
      <w:pPr>
        <w:rPr>
          <w:rStyle w:val="Hyperkobling"/>
          <w:sz w:val="20"/>
          <w:szCs w:val="20"/>
          <w:lang w:val="en-GB"/>
        </w:rPr>
      </w:pPr>
      <w:r>
        <w:rPr>
          <w:sz w:val="20"/>
          <w:szCs w:val="20"/>
          <w:lang w:val="en-GB"/>
        </w:rPr>
        <w:t xml:space="preserve">Source : extract from the ‘summary card’ presented on p.4 of the </w:t>
      </w:r>
      <w:hyperlink r:id="rId9" w:history="1">
        <w:r>
          <w:rPr>
            <w:rStyle w:val="Hyperkobling"/>
            <w:sz w:val="20"/>
            <w:szCs w:val="20"/>
            <w:lang w:val="en-GB"/>
          </w:rPr>
          <w:t>OECD-DAC handbook on the disability inclusion marker</w:t>
        </w:r>
      </w:hyperlink>
    </w:p>
    <w:p w14:paraId="3AB5B2A7" w14:textId="7D1CDE57" w:rsidR="008E1DEF" w:rsidRDefault="00000000">
      <w:pPr>
        <w:rPr>
          <w:b/>
          <w:bCs/>
          <w:lang w:val="en-GB"/>
        </w:rPr>
      </w:pPr>
      <w:r>
        <w:rPr>
          <w:b/>
          <w:bCs/>
          <w:lang w:val="en-GB"/>
        </w:rPr>
        <w:t xml:space="preserve">Box </w:t>
      </w:r>
      <w:proofErr w:type="gramStart"/>
      <w:r>
        <w:rPr>
          <w:b/>
          <w:bCs/>
          <w:lang w:val="en-GB"/>
        </w:rPr>
        <w:t>2 :</w:t>
      </w:r>
      <w:proofErr w:type="gramEnd"/>
      <w:r>
        <w:rPr>
          <w:b/>
          <w:bCs/>
          <w:lang w:val="en-GB"/>
        </w:rPr>
        <w:t xml:space="preserve"> the disability inclusion policy marker scoring system </w:t>
      </w:r>
    </w:p>
    <w:tbl>
      <w:tblPr>
        <w:tblStyle w:val="Tabellrutenett"/>
        <w:tblW w:w="10201" w:type="dxa"/>
        <w:tblLook w:val="04A0" w:firstRow="1" w:lastRow="0" w:firstColumn="1" w:lastColumn="0" w:noHBand="0" w:noVBand="1"/>
      </w:tblPr>
      <w:tblGrid>
        <w:gridCol w:w="10201"/>
      </w:tblGrid>
      <w:tr w:rsidR="008E1DEF" w14:paraId="5E6FF075" w14:textId="77777777">
        <w:tc>
          <w:tcPr>
            <w:tcW w:w="10201" w:type="dxa"/>
          </w:tcPr>
          <w:p w14:paraId="67938C87" w14:textId="14F3428A" w:rsidR="008E1DEF" w:rsidRDefault="00000000">
            <w:pPr>
              <w:spacing w:after="160" w:line="259" w:lineRule="auto"/>
              <w:rPr>
                <w:lang w:val="en-GB"/>
              </w:rPr>
            </w:pPr>
            <w:r>
              <w:rPr>
                <w:lang w:val="en-GB"/>
              </w:rPr>
              <w:t xml:space="preserve">The disability inclusion policy marker uses a three-point scoring system. </w:t>
            </w:r>
          </w:p>
          <w:p w14:paraId="22830B69" w14:textId="35B28A9E" w:rsidR="008E1DEF" w:rsidRDefault="00000000">
            <w:pPr>
              <w:rPr>
                <w:lang w:val="en-GB"/>
              </w:rPr>
            </w:pPr>
            <w:r>
              <w:rPr>
                <w:lang w:val="en-GB"/>
              </w:rPr>
              <w:t xml:space="preserve">Projects that aim to promote inclusion can either be given one of two positive </w:t>
            </w:r>
            <w:proofErr w:type="gramStart"/>
            <w:r>
              <w:rPr>
                <w:lang w:val="en-GB"/>
              </w:rPr>
              <w:t>scores :</w:t>
            </w:r>
            <w:proofErr w:type="gramEnd"/>
            <w:r>
              <w:rPr>
                <w:lang w:val="en-GB"/>
              </w:rPr>
              <w:t xml:space="preserve"> </w:t>
            </w:r>
          </w:p>
          <w:p w14:paraId="185971FF" w14:textId="77777777" w:rsidR="008E1DEF" w:rsidRDefault="00000000">
            <w:pPr>
              <w:pStyle w:val="Listeavsnitt"/>
              <w:numPr>
                <w:ilvl w:val="0"/>
                <w:numId w:val="7"/>
              </w:numPr>
              <w:rPr>
                <w:lang w:val="en-GB"/>
              </w:rPr>
            </w:pPr>
            <w:r>
              <w:rPr>
                <w:lang w:val="en-GB"/>
              </w:rPr>
              <w:t xml:space="preserve">A score of 2 if inclusion of persons with disabilities is the principal objective of the </w:t>
            </w:r>
            <w:proofErr w:type="gramStart"/>
            <w:r>
              <w:rPr>
                <w:lang w:val="en-GB"/>
              </w:rPr>
              <w:t>project ;</w:t>
            </w:r>
            <w:proofErr w:type="gramEnd"/>
            <w:r>
              <w:rPr>
                <w:lang w:val="en-GB"/>
              </w:rPr>
              <w:t xml:space="preserve"> or </w:t>
            </w:r>
          </w:p>
          <w:p w14:paraId="3A76F59D" w14:textId="77777777" w:rsidR="008E1DEF" w:rsidRDefault="00000000">
            <w:pPr>
              <w:pStyle w:val="Listeavsnitt"/>
              <w:numPr>
                <w:ilvl w:val="0"/>
                <w:numId w:val="7"/>
              </w:numPr>
              <w:rPr>
                <w:lang w:val="en-GB"/>
              </w:rPr>
            </w:pPr>
            <w:r>
              <w:rPr>
                <w:lang w:val="en-GB"/>
              </w:rPr>
              <w:t>A score of 1 if inclusion of persons with disabilities is a significant objective, but not the main reason why a project is being undertaken – for example, a broad humanitarian intervention in which disability inclusion has been mainstreamed.</w:t>
            </w:r>
          </w:p>
          <w:p w14:paraId="00B967CC" w14:textId="77777777" w:rsidR="008E1DEF" w:rsidRDefault="008E1DEF">
            <w:pPr>
              <w:pStyle w:val="Listeavsnitt"/>
              <w:ind w:left="360"/>
              <w:rPr>
                <w:lang w:val="en-GB"/>
              </w:rPr>
            </w:pPr>
          </w:p>
          <w:p w14:paraId="63CFB5D4" w14:textId="77777777" w:rsidR="008E1DEF" w:rsidRDefault="00000000">
            <w:pPr>
              <w:spacing w:after="160" w:line="259" w:lineRule="auto"/>
              <w:rPr>
                <w:lang w:val="en-GB"/>
              </w:rPr>
            </w:pPr>
            <w:r>
              <w:rPr>
                <w:lang w:val="en-GB"/>
              </w:rPr>
              <w:lastRenderedPageBreak/>
              <w:t xml:space="preserve">If inclusion of persons with disabilities is not a significant objective of the project, then it is given a score of 0. </w:t>
            </w:r>
          </w:p>
          <w:p w14:paraId="327F731D" w14:textId="75A0C474" w:rsidR="008E1DEF" w:rsidRDefault="008E1DEF">
            <w:pPr>
              <w:spacing w:after="160" w:line="259" w:lineRule="auto"/>
              <w:rPr>
                <w:lang w:val="en-GB"/>
              </w:rPr>
            </w:pPr>
          </w:p>
        </w:tc>
      </w:tr>
    </w:tbl>
    <w:p w14:paraId="4B062008" w14:textId="73044B99" w:rsidR="008E1DEF" w:rsidRDefault="00000000">
      <w:pPr>
        <w:rPr>
          <w:rStyle w:val="Hyperkobling"/>
          <w:color w:val="auto"/>
          <w:sz w:val="20"/>
          <w:szCs w:val="20"/>
          <w:u w:val="none"/>
          <w:lang w:val="en-GB"/>
        </w:rPr>
      </w:pPr>
      <w:r>
        <w:rPr>
          <w:sz w:val="20"/>
          <w:szCs w:val="20"/>
          <w:lang w:val="en-GB"/>
        </w:rPr>
        <w:lastRenderedPageBreak/>
        <w:t xml:space="preserve">Source : this box draws on OECD-DAC, 2020, </w:t>
      </w:r>
      <w:hyperlink r:id="rId10" w:history="1">
        <w:r>
          <w:rPr>
            <w:rStyle w:val="Hyperkobling"/>
            <w:sz w:val="20"/>
            <w:szCs w:val="20"/>
            <w:lang w:val="en-GB"/>
          </w:rPr>
          <w:t>The OECD-DAC policy marker on the inclusion and empowerment of persons with disabilities: handbook for data reporters and users</w:t>
        </w:r>
      </w:hyperlink>
      <w:r>
        <w:rPr>
          <w:sz w:val="20"/>
          <w:szCs w:val="20"/>
          <w:lang w:val="en-GB"/>
        </w:rPr>
        <w:t>, pp.13-14</w:t>
      </w:r>
    </w:p>
    <w:p w14:paraId="0A0D51FD" w14:textId="683CEB87" w:rsidR="008E1DEF" w:rsidRDefault="008E1DEF">
      <w:pPr>
        <w:rPr>
          <w:rStyle w:val="Hyperkobling"/>
          <w:sz w:val="20"/>
          <w:szCs w:val="20"/>
          <w:lang w:val="en-GB"/>
        </w:rPr>
      </w:pPr>
    </w:p>
    <w:p w14:paraId="28C6E1B8" w14:textId="77777777" w:rsidR="008E1DEF" w:rsidRDefault="00000000">
      <w:pPr>
        <w:pStyle w:val="Overskrift3"/>
        <w:rPr>
          <w:b/>
          <w:bCs/>
          <w:lang w:val="en-GB"/>
        </w:rPr>
      </w:pPr>
      <w:bookmarkStart w:id="4" w:name="_Toc129039822"/>
      <w:r>
        <w:rPr>
          <w:b/>
          <w:bCs/>
          <w:lang w:val="en-GB"/>
        </w:rPr>
        <w:t>This short report</w:t>
      </w:r>
      <w:bookmarkEnd w:id="4"/>
    </w:p>
    <w:p w14:paraId="70CE2230" w14:textId="77777777" w:rsidR="008E1DEF" w:rsidRDefault="00000000">
      <w:pPr>
        <w:rPr>
          <w:lang w:val="en-GB"/>
        </w:rPr>
      </w:pPr>
      <w:r>
        <w:rPr>
          <w:lang w:val="en-GB"/>
        </w:rPr>
        <w:t xml:space="preserve">Six years after the disability inclusion policy marker was introduced, and four years after the first data using the marker became publicly available, this report offers a brief stock-take of how the marker has been used so </w:t>
      </w:r>
      <w:proofErr w:type="gramStart"/>
      <w:r>
        <w:rPr>
          <w:lang w:val="en-GB"/>
        </w:rPr>
        <w:t>far, and</w:t>
      </w:r>
      <w:proofErr w:type="gramEnd"/>
      <w:r>
        <w:rPr>
          <w:lang w:val="en-GB"/>
        </w:rPr>
        <w:t xml:space="preserve"> highlights untapped opportunities to make sure the marker delivers on its full potential for monitoring, transparency and learning.  </w:t>
      </w:r>
    </w:p>
    <w:p w14:paraId="2F027D2E" w14:textId="06D52D3D" w:rsidR="008E1DEF" w:rsidRDefault="00000000">
      <w:pPr>
        <w:rPr>
          <w:lang w:val="en-GB"/>
        </w:rPr>
      </w:pPr>
      <w:r>
        <w:rPr>
          <w:lang w:val="en-GB"/>
        </w:rPr>
        <w:t>The report has been prepared in the run-up to a seminar organised by the Atlas Alliance. The report is structured around four key opportunities, and for each opportunity it suggests one or two questions which it is hoped can prompt further discussion and insights during the seminar.</w:t>
      </w:r>
    </w:p>
    <w:p w14:paraId="0C06E977" w14:textId="01E576E9" w:rsidR="008E1DEF" w:rsidRDefault="00000000">
      <w:pPr>
        <w:pStyle w:val="Overskrift3"/>
        <w:rPr>
          <w:rStyle w:val="Hyperkobling"/>
          <w:b/>
          <w:bCs/>
          <w:color w:val="1F3763" w:themeColor="accent1" w:themeShade="7F"/>
          <w:u w:val="none"/>
          <w:lang w:val="en-GB"/>
        </w:rPr>
      </w:pPr>
      <w:bookmarkStart w:id="5" w:name="_Toc129039823"/>
      <w:r>
        <w:rPr>
          <w:rStyle w:val="Hyperkobling"/>
          <w:b/>
          <w:bCs/>
          <w:color w:val="1F3763" w:themeColor="accent1" w:themeShade="7F"/>
          <w:u w:val="none"/>
          <w:lang w:val="en-GB"/>
        </w:rPr>
        <w:t>Technical note: “Allocable” ODA</w:t>
      </w:r>
      <w:bookmarkEnd w:id="5"/>
    </w:p>
    <w:p w14:paraId="003738CD" w14:textId="77777777" w:rsidR="008E1DEF" w:rsidRDefault="00000000">
      <w:pPr>
        <w:rPr>
          <w:lang w:val="en-GB"/>
        </w:rPr>
      </w:pPr>
      <w:r>
        <w:rPr>
          <w:lang w:val="en-GB"/>
        </w:rPr>
        <w:t>Unless otherwise stated, the analysis in this report is based on so-called “allocable” ODA. Allocable ODA is a category defined by the OECD-DAC, which comprises seven types of ODA spending</w:t>
      </w:r>
      <w:r>
        <w:rPr>
          <w:rStyle w:val="Fotnotereferanse"/>
          <w:lang w:val="en-GB"/>
        </w:rPr>
        <w:footnoteReference w:id="11"/>
      </w:r>
      <w:r>
        <w:rPr>
          <w:lang w:val="en-GB"/>
        </w:rPr>
        <w:t xml:space="preserve">  deemed to be most directly within the control and monitoring oversight of OECD-DAC members. Project spending and technical assistance are both examples of allocable ODA. In contrast, “non-allocable” ODA includes spending types such as core contributions to multilateral agencies, and debt relief. </w:t>
      </w:r>
    </w:p>
    <w:p w14:paraId="618AB749" w14:textId="77777777" w:rsidR="008E1DEF" w:rsidRDefault="00000000">
      <w:pPr>
        <w:rPr>
          <w:lang w:val="en-GB"/>
        </w:rPr>
      </w:pPr>
      <w:r>
        <w:rPr>
          <w:lang w:val="en-GB"/>
        </w:rPr>
        <w:t xml:space="preserve">The decision to base the analysis on allocable ODA has been made for pragmatic reasons. The OECD-DAC uses allocable ODA as the basis for all its own analysis on policy marker data, including analysis on other well-known policy </w:t>
      </w:r>
      <w:proofErr w:type="spellStart"/>
      <w:r>
        <w:rPr>
          <w:lang w:val="en-GB"/>
        </w:rPr>
        <w:t>markers</w:t>
      </w:r>
      <w:proofErr w:type="spellEnd"/>
      <w:r>
        <w:rPr>
          <w:lang w:val="en-GB"/>
        </w:rPr>
        <w:t xml:space="preserve"> such as its gender equality policy marker.</w:t>
      </w:r>
      <w:r>
        <w:rPr>
          <w:rStyle w:val="Fotnotereferanse"/>
          <w:lang w:val="en-GB"/>
        </w:rPr>
        <w:footnoteReference w:id="12"/>
      </w:r>
      <w:r>
        <w:rPr>
          <w:lang w:val="en-GB"/>
        </w:rPr>
        <w:t xml:space="preserve"> If this report presented its analysis on a basis other than allocable ODA, this would be liable to cause confusion and distract from the report’s core messages.</w:t>
      </w:r>
    </w:p>
    <w:p w14:paraId="21A648CF" w14:textId="77777777" w:rsidR="008E1DEF" w:rsidRDefault="00000000">
      <w:pPr>
        <w:rPr>
          <w:lang w:val="en-GB"/>
        </w:rPr>
      </w:pPr>
      <w:r>
        <w:rPr>
          <w:lang w:val="en-GB"/>
        </w:rPr>
        <w:t xml:space="preserve">However, if the analysis were being designed in isolation, without any precedent set by the OECD-DAC, a different approach would be taken. The analysis would take in </w:t>
      </w:r>
      <w:r>
        <w:rPr>
          <w:b/>
          <w:bCs/>
          <w:lang w:val="en-GB"/>
        </w:rPr>
        <w:t xml:space="preserve">all </w:t>
      </w:r>
      <w:r>
        <w:rPr>
          <w:lang w:val="en-GB"/>
        </w:rPr>
        <w:t>types of ODA spending (except administrative costs and core contributions to multilateral agencies, which are not eligible for marker reporting).</w:t>
      </w:r>
      <w:r>
        <w:rPr>
          <w:rStyle w:val="Fotnotereferanse"/>
          <w:lang w:val="en-GB"/>
        </w:rPr>
        <w:footnoteReference w:id="13"/>
      </w:r>
      <w:r>
        <w:rPr>
          <w:lang w:val="en-GB"/>
        </w:rPr>
        <w:t xml:space="preserve"> This approach would have the benefit of holding OECD-DAC members accountable for the inclusion of persons with disabilities across a wider range of their ODA activities. The boundaries of allocable ODA are specified quite narrowly, and it is arguable that OECD-DAC members have at least a degree of control over many types of ODA that are supposedly “non-allocable”: for example, the hosting of refugees in OECD-DAC members’ own countries. Where </w:t>
      </w:r>
      <w:r>
        <w:rPr>
          <w:lang w:val="en-GB"/>
        </w:rPr>
        <w:lastRenderedPageBreak/>
        <w:t xml:space="preserve">OECD-DAC members have such control, they should be held to account for inclusion of persons with disabilities. </w:t>
      </w:r>
    </w:p>
    <w:p w14:paraId="0343F489" w14:textId="77777777" w:rsidR="008E1DEF" w:rsidRDefault="00000000">
      <w:pPr>
        <w:rPr>
          <w:lang w:val="en-GB"/>
        </w:rPr>
      </w:pPr>
      <w:r>
        <w:rPr>
          <w:lang w:val="en-GB"/>
        </w:rPr>
        <w:t>It is true that the objectives of some ODA spending types may genuinely be further beyond OECD-DAC members’ control – for example, this may often be true of debt relief. But even if that is the case, it is still arguable that an analysis on disability inclusion within ODA should take in as wide a range of spending types as possible, so that projects reported to be disability inclusive can be better contextualised relative to the overall scale of an OECD-DAC member’s bilateral ODA spending.</w:t>
      </w:r>
    </w:p>
    <w:p w14:paraId="6108DC3F" w14:textId="3841F295" w:rsidR="008E1DEF" w:rsidRDefault="00000000">
      <w:pPr>
        <w:rPr>
          <w:lang w:val="en-GB"/>
        </w:rPr>
      </w:pPr>
      <w:r>
        <w:rPr>
          <w:lang w:val="en-GB"/>
        </w:rPr>
        <w:t>In interpreting this report’s data on the percentage of ODA projects reported to be inclusive of persons with disabilities, readers are asked to keep in mind that the percentages would generally be somewhat lower if the analysis was based on total bilateral ODA, as opposed to allocable ODA only.</w:t>
      </w:r>
      <w:r>
        <w:rPr>
          <w:rStyle w:val="Fotnotereferanse"/>
          <w:lang w:val="en-GB"/>
        </w:rPr>
        <w:footnoteReference w:id="14"/>
      </w:r>
      <w:r>
        <w:rPr>
          <w:lang w:val="en-GB"/>
        </w:rPr>
        <w:t xml:space="preserve"> If disability inclusion policy marker data were available for core contributions to multilateral agencies, and these contributions were also included in the analysis, the percentages would probably be lower still.</w:t>
      </w:r>
      <w:r>
        <w:rPr>
          <w:rStyle w:val="Fotnotereferanse"/>
          <w:lang w:val="en-GB"/>
        </w:rPr>
        <w:footnoteReference w:id="15"/>
      </w:r>
      <w:r>
        <w:rPr>
          <w:lang w:val="en-GB"/>
        </w:rPr>
        <w:t xml:space="preserve"> </w:t>
      </w:r>
    </w:p>
    <w:p w14:paraId="0D891D5D" w14:textId="77777777" w:rsidR="008E1DEF" w:rsidRDefault="00000000">
      <w:pPr>
        <w:pStyle w:val="Overskrift2"/>
      </w:pPr>
      <w:bookmarkStart w:id="6" w:name="_Toc129039824"/>
      <w:r>
        <w:t>Opportunities to get the most from the disability inclusion policy marker</w:t>
      </w:r>
      <w:bookmarkEnd w:id="6"/>
    </w:p>
    <w:p w14:paraId="60382F7B" w14:textId="22B5A4FA" w:rsidR="008E1DEF" w:rsidRDefault="00000000">
      <w:pPr>
        <w:pStyle w:val="Overskrift3"/>
        <w:rPr>
          <w:b/>
          <w:bCs/>
          <w:lang w:val="en-GB"/>
        </w:rPr>
      </w:pPr>
      <w:bookmarkStart w:id="7" w:name="_Toc129039825"/>
      <w:r>
        <w:rPr>
          <w:b/>
          <w:bCs/>
          <w:lang w:val="en-GB"/>
        </w:rPr>
        <w:t>Opportunity 1: Make full use of the disability inclusion policy marker</w:t>
      </w:r>
      <w:bookmarkEnd w:id="7"/>
      <w:r>
        <w:rPr>
          <w:b/>
          <w:bCs/>
          <w:lang w:val="en-GB"/>
        </w:rPr>
        <w:t xml:space="preserve"> </w:t>
      </w:r>
    </w:p>
    <w:p w14:paraId="2079B82D" w14:textId="11B26C3B" w:rsidR="008E1DEF" w:rsidRDefault="00000000">
      <w:pPr>
        <w:rPr>
          <w:lang w:val="en-GB"/>
        </w:rPr>
      </w:pPr>
      <w:r>
        <w:rPr>
          <w:lang w:val="en-GB"/>
        </w:rPr>
        <w:t xml:space="preserve">Interest in disability policy markers has been growing fast in recent years. Considering that use of the OECD-DAC disability inclusion policy marker is voluntary, it is encouraging that just over </w:t>
      </w:r>
      <w:r>
        <w:rPr>
          <w:b/>
          <w:bCs/>
          <w:lang w:val="en-GB"/>
        </w:rPr>
        <w:t>two thirds of all OECD-DAC members have already opted to use the marker to report on at least some of their ODA spending</w:t>
      </w:r>
      <w:r>
        <w:rPr>
          <w:lang w:val="en-GB"/>
        </w:rPr>
        <w:t>.</w:t>
      </w:r>
      <w:r>
        <w:rPr>
          <w:rStyle w:val="Fotnotereferanse"/>
          <w:lang w:val="en-GB"/>
        </w:rPr>
        <w:footnoteReference w:id="16"/>
      </w:r>
      <w:r>
        <w:rPr>
          <w:lang w:val="en-GB"/>
        </w:rPr>
        <w:t xml:space="preserve"> </w:t>
      </w:r>
    </w:p>
    <w:p w14:paraId="66827273" w14:textId="20F5B368" w:rsidR="008E1DEF" w:rsidRDefault="00000000">
      <w:pPr>
        <w:rPr>
          <w:lang w:val="en-GB"/>
        </w:rPr>
      </w:pPr>
      <w:r>
        <w:rPr>
          <w:lang w:val="en-GB"/>
        </w:rPr>
        <w:t xml:space="preserve">A range of other organisations outside the OECD-DAC have also adopted, or are in the process of developing, disability policy </w:t>
      </w:r>
      <w:proofErr w:type="spellStart"/>
      <w:r>
        <w:rPr>
          <w:lang w:val="en-GB"/>
        </w:rPr>
        <w:t>markers</w:t>
      </w:r>
      <w:proofErr w:type="spellEnd"/>
      <w:r>
        <w:rPr>
          <w:lang w:val="en-GB"/>
        </w:rPr>
        <w:t>. Most of these markers follow a similar design to the OECD-DAC marker such that results are readily comparable, though in a few cases there would be scope for greater harmonisation. Examples include: UNICEF</w:t>
      </w:r>
      <w:r>
        <w:rPr>
          <w:rStyle w:val="Fotnotereferanse"/>
          <w:lang w:val="en-GB"/>
        </w:rPr>
        <w:footnoteReference w:id="17"/>
      </w:r>
      <w:r>
        <w:rPr>
          <w:lang w:val="en-GB"/>
        </w:rPr>
        <w:t xml:space="preserve"> and the Ford Foundation,</w:t>
      </w:r>
      <w:r>
        <w:rPr>
          <w:rStyle w:val="Fotnotereferanse"/>
          <w:lang w:val="en-GB"/>
        </w:rPr>
        <w:footnoteReference w:id="18"/>
      </w:r>
      <w:r>
        <w:rPr>
          <w:lang w:val="en-GB"/>
        </w:rPr>
        <w:t xml:space="preserve"> which have been using disability policy </w:t>
      </w:r>
      <w:proofErr w:type="spellStart"/>
      <w:r>
        <w:rPr>
          <w:lang w:val="en-GB"/>
        </w:rPr>
        <w:t>markers</w:t>
      </w:r>
      <w:proofErr w:type="spellEnd"/>
      <w:r>
        <w:rPr>
          <w:lang w:val="en-GB"/>
        </w:rPr>
        <w:t xml:space="preserve"> for several years ; a growing number of entities across the UN system that are now developing disability policy markers ;</w:t>
      </w:r>
      <w:r>
        <w:rPr>
          <w:rStyle w:val="Fotnotereferanse"/>
          <w:lang w:val="en-GB"/>
        </w:rPr>
        <w:footnoteReference w:id="19"/>
      </w:r>
      <w:r>
        <w:rPr>
          <w:lang w:val="en-GB"/>
        </w:rPr>
        <w:t xml:space="preserve"> and the Inter-Agency Standing Committee, which includes a disability dimension in its Gender with Age Marker.</w:t>
      </w:r>
      <w:r>
        <w:rPr>
          <w:rStyle w:val="Fotnotereferanse"/>
          <w:lang w:val="en-GB"/>
        </w:rPr>
        <w:footnoteReference w:id="20"/>
      </w:r>
      <w:r>
        <w:rPr>
          <w:lang w:val="en-GB"/>
        </w:rPr>
        <w:t xml:space="preserve"> In addition, some governments in the Global South are starting to use, or considering using, disability policy </w:t>
      </w:r>
      <w:proofErr w:type="spellStart"/>
      <w:r>
        <w:rPr>
          <w:lang w:val="en-GB"/>
        </w:rPr>
        <w:t>markers</w:t>
      </w:r>
      <w:proofErr w:type="spellEnd"/>
      <w:r>
        <w:rPr>
          <w:lang w:val="en-GB"/>
        </w:rPr>
        <w:t xml:space="preserve"> to track domestic budget spending. Ecuador introduced a disability ‘budget classifier’ (</w:t>
      </w:r>
      <w:proofErr w:type="gramStart"/>
      <w:r>
        <w:rPr>
          <w:lang w:val="en-GB"/>
        </w:rPr>
        <w:t>i.e.</w:t>
      </w:r>
      <w:proofErr w:type="gramEnd"/>
      <w:r>
        <w:rPr>
          <w:lang w:val="en-GB"/>
        </w:rPr>
        <w:t xml:space="preserve"> similar to a </w:t>
      </w:r>
      <w:r>
        <w:rPr>
          <w:lang w:val="en-GB"/>
        </w:rPr>
        <w:lastRenderedPageBreak/>
        <w:t>marker) in 2014,</w:t>
      </w:r>
      <w:r>
        <w:rPr>
          <w:rStyle w:val="Fotnotereferanse"/>
          <w:lang w:val="en-GB"/>
        </w:rPr>
        <w:footnoteReference w:id="21"/>
      </w:r>
      <w:r>
        <w:rPr>
          <w:lang w:val="en-GB"/>
        </w:rPr>
        <w:t xml:space="preserve"> and the Government of Timor-Leste has said it intends to introduce a disability policy marker in future.</w:t>
      </w:r>
      <w:r>
        <w:rPr>
          <w:rStyle w:val="Fotnotereferanse"/>
          <w:lang w:val="en-GB"/>
        </w:rPr>
        <w:footnoteReference w:id="22"/>
      </w:r>
    </w:p>
    <w:p w14:paraId="16937DE1" w14:textId="77777777" w:rsidR="008E1DEF" w:rsidRDefault="00000000">
      <w:pPr>
        <w:rPr>
          <w:lang w:val="en-GB"/>
        </w:rPr>
      </w:pPr>
      <w:r>
        <w:rPr>
          <w:lang w:val="en-GB"/>
        </w:rPr>
        <w:t xml:space="preserve">However, while just over two thirds of OECD-DAC members have begun to use the disability inclusion policy marker, </w:t>
      </w:r>
      <w:r>
        <w:rPr>
          <w:b/>
          <w:bCs/>
          <w:lang w:val="en-GB"/>
        </w:rPr>
        <w:t xml:space="preserve">some of those OECD-DAC members with the largest amounts of ODA spending do not use the marker at all – </w:t>
      </w:r>
      <w:r>
        <w:rPr>
          <w:lang w:val="en-GB"/>
        </w:rPr>
        <w:t>for example the USA and Germany.</w:t>
      </w:r>
      <w:r>
        <w:rPr>
          <w:b/>
          <w:bCs/>
          <w:lang w:val="en-GB"/>
        </w:rPr>
        <w:t xml:space="preserve"> Others only use the marker for a small share of their projects</w:t>
      </w:r>
      <w:r>
        <w:rPr>
          <w:lang w:val="en-GB"/>
        </w:rPr>
        <w:t xml:space="preserve"> (figure 1 on next page). </w:t>
      </w:r>
    </w:p>
    <w:p w14:paraId="356D8DC7" w14:textId="3350DC75" w:rsidR="008E1DEF" w:rsidRDefault="00000000">
      <w:pPr>
        <w:rPr>
          <w:b/>
          <w:bCs/>
          <w:lang w:val="en-GB"/>
        </w:rPr>
      </w:pPr>
      <w:r>
        <w:rPr>
          <w:lang w:val="en-GB"/>
        </w:rPr>
        <w:t xml:space="preserve">Overall, in 2021, the most recent year for which data are available, </w:t>
      </w:r>
      <w:r>
        <w:rPr>
          <w:b/>
          <w:bCs/>
          <w:lang w:val="en-GB"/>
        </w:rPr>
        <w:t>OECD-DAC members only applied the marker to 46% of all allocable ODA projects.</w:t>
      </w:r>
      <w:r>
        <w:rPr>
          <w:rStyle w:val="Fotnotereferanse"/>
          <w:b/>
          <w:bCs/>
          <w:lang w:val="en-GB"/>
        </w:rPr>
        <w:footnoteReference w:id="23"/>
      </w:r>
    </w:p>
    <w:p w14:paraId="7EC7DDCB" w14:textId="77777777" w:rsidR="008E1DEF" w:rsidRDefault="00000000">
      <w:pPr>
        <w:rPr>
          <w:b/>
          <w:bCs/>
          <w:lang w:val="en-GB"/>
        </w:rPr>
      </w:pPr>
      <w:r>
        <w:rPr>
          <w:b/>
          <w:bCs/>
          <w:lang w:val="en-GB"/>
        </w:rPr>
        <w:br w:type="page"/>
      </w:r>
    </w:p>
    <w:p w14:paraId="2A31EA4F" w14:textId="77777777" w:rsidR="008E1DEF" w:rsidRDefault="008E1DEF">
      <w:pPr>
        <w:rPr>
          <w:b/>
          <w:bCs/>
          <w:lang w:val="en-GB"/>
        </w:rPr>
        <w:sectPr w:rsidR="008E1DEF">
          <w:footerReference w:type="default" r:id="rId11"/>
          <w:headerReference w:type="first" r:id="rId12"/>
          <w:pgSz w:w="11906" w:h="16838"/>
          <w:pgMar w:top="1440" w:right="1440" w:bottom="1440" w:left="1440" w:header="709" w:footer="709" w:gutter="0"/>
          <w:cols w:space="708"/>
          <w:docGrid w:linePitch="360"/>
        </w:sectPr>
      </w:pPr>
    </w:p>
    <w:p w14:paraId="0DE011D6" w14:textId="77777777" w:rsidR="008E1DEF" w:rsidRDefault="00000000">
      <w:pPr>
        <w:rPr>
          <w:b/>
          <w:bCs/>
          <w:lang w:val="en-GB"/>
        </w:rPr>
      </w:pPr>
      <w:r>
        <w:rPr>
          <w:b/>
          <w:bCs/>
          <w:lang w:val="en-GB"/>
        </w:rPr>
        <w:lastRenderedPageBreak/>
        <w:t xml:space="preserve">Figure </w:t>
      </w:r>
      <w:proofErr w:type="gramStart"/>
      <w:r>
        <w:rPr>
          <w:b/>
          <w:bCs/>
          <w:lang w:val="en-GB"/>
        </w:rPr>
        <w:t>1 :</w:t>
      </w:r>
      <w:proofErr w:type="gramEnd"/>
      <w:r>
        <w:rPr>
          <w:b/>
          <w:bCs/>
          <w:lang w:val="en-GB"/>
        </w:rPr>
        <w:t xml:space="preserve"> some OECD-DAC members do not yet use the disability inclusion policy marker, or only use it for a small share of their projects</w:t>
      </w:r>
    </w:p>
    <w:p w14:paraId="6818FEA7" w14:textId="77777777" w:rsidR="008E1DEF" w:rsidRDefault="00000000">
      <w:pPr>
        <w:rPr>
          <w:lang w:val="en-GB"/>
        </w:rPr>
      </w:pPr>
      <w:r>
        <w:rPr>
          <w:noProof/>
          <w:lang w:val="en-GB"/>
        </w:rPr>
        <w:drawing>
          <wp:inline distT="0" distB="0" distL="0" distR="0" wp14:anchorId="6F3AEC7D" wp14:editId="0549AD1F">
            <wp:extent cx="8769350" cy="2927350"/>
            <wp:effectExtent l="0" t="0" r="12700" b="6350"/>
            <wp:docPr id="1" name="Chart 1" descr="A bar chart, with a bar for each of the 30 members of the OECD-DAC, showing the percentage of allocable projects for which the disability inclusion policy marker was and was not used. The percentage of allocable projects for which the marker *was* used are the following. Aotearoa New Zealand: 100%; Australia: 100%; Austria: 99%; Belgium: 0%; Canada: 100%; Czech Republic: 100%; Denmark: 89%; EU Institutions: 94%; Finland: 88%; France: 51%; Germany: 0%; Greece: 0%; Hungary: 0%; Iceland: 100%; Ireland: 86%; Italy: 86%; Japan: 30%; Korea: 36%; Luxembourg: 0%; Netherlands: 0%; Norway: 100%; Poland: 99%; Portugal: 0%; Slovak Republic: 99%; Slovenia: 0%; Spain: 100%; Sweden: 93%; Switzerland: 100%; United Kingdom: 92%; United States: 0%.  ">
              <a:extLst xmlns:a="http://schemas.openxmlformats.org/drawingml/2006/main">
                <a:ext uri="{FF2B5EF4-FFF2-40B4-BE49-F238E27FC236}">
                  <a16:creationId xmlns:a16="http://schemas.microsoft.com/office/drawing/2014/main" id="{B46F832D-F207-7E26-E15A-7BBAA1AD02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1EE4A8D" w14:textId="77777777" w:rsidR="008E1DEF" w:rsidRDefault="00000000">
      <w:pPr>
        <w:rPr>
          <w:sz w:val="20"/>
          <w:szCs w:val="20"/>
          <w:lang w:val="en-GB"/>
        </w:rPr>
      </w:pPr>
      <w:proofErr w:type="gramStart"/>
      <w:r>
        <w:rPr>
          <w:sz w:val="20"/>
          <w:szCs w:val="20"/>
          <w:lang w:val="en-GB"/>
        </w:rPr>
        <w:t>Source :</w:t>
      </w:r>
      <w:proofErr w:type="gramEnd"/>
      <w:r>
        <w:rPr>
          <w:sz w:val="20"/>
          <w:szCs w:val="20"/>
          <w:lang w:val="en-GB"/>
        </w:rPr>
        <w:t xml:space="preserve"> author’s analysis of OECD-DAC Creditor Reporting System data on allocable ODA commitments in 2021 – the most recent year for which data are available. Data were downloaded in January 2023. Negative commitments were excluded from the analysis. The percentages relate to the </w:t>
      </w:r>
      <w:r>
        <w:rPr>
          <w:b/>
          <w:bCs/>
          <w:sz w:val="20"/>
          <w:szCs w:val="20"/>
          <w:lang w:val="en-GB"/>
        </w:rPr>
        <w:t xml:space="preserve">number of projects </w:t>
      </w:r>
      <w:r>
        <w:rPr>
          <w:sz w:val="20"/>
          <w:szCs w:val="20"/>
          <w:lang w:val="en-GB"/>
        </w:rPr>
        <w:t>for which the marker was used (as opposed to the value of spending on those projects).</w:t>
      </w:r>
    </w:p>
    <w:p w14:paraId="4DAEBCB1" w14:textId="4C154C99" w:rsidR="008E1DEF" w:rsidRDefault="00000000">
      <w:pPr>
        <w:rPr>
          <w:lang w:val="en-GB"/>
        </w:rPr>
      </w:pPr>
      <w:r>
        <w:rPr>
          <w:lang w:val="en-GB"/>
        </w:rPr>
        <w:t xml:space="preserve">In general, the OECD-DAC members that used the disability inclusion policy marker for a high percentage of their projects are likely to represent better practice, and other OECD-DAC members should seek to learn from them. However, there is some nuance to this, as it is possible that some OECD-DAC members may have achieved high percentages simply by applying a default marker score to their projects – </w:t>
      </w:r>
      <w:proofErr w:type="gramStart"/>
      <w:r>
        <w:rPr>
          <w:lang w:val="en-GB"/>
        </w:rPr>
        <w:t>i.e.</w:t>
      </w:r>
      <w:proofErr w:type="gramEnd"/>
      <w:r>
        <w:rPr>
          <w:lang w:val="en-GB"/>
        </w:rPr>
        <w:t xml:space="preserve"> scoring them as if they have been assessed against the marker and found not to be disability inclusive, when in reality these projects have simply not been assessed at all. This is not the OECD-DAC’s recommended approach to using the disability inclusion policy marker,</w:t>
      </w:r>
      <w:r>
        <w:rPr>
          <w:rStyle w:val="Fotnotereferanse"/>
          <w:lang w:val="en-GB"/>
        </w:rPr>
        <w:footnoteReference w:id="24"/>
      </w:r>
      <w:r>
        <w:rPr>
          <w:lang w:val="en-GB"/>
        </w:rPr>
        <w:t xml:space="preserve"> and it means missing an important opportunity to quality assure all projects. In a 2021 analysis on Switzerland’s use of the disability inclusion policy marker, the civil society organisation CBM Switzerland summarised what good practice in marker usage should look like:</w:t>
      </w:r>
    </w:p>
    <w:p w14:paraId="4389B85A" w14:textId="77777777" w:rsidR="008E1DEF" w:rsidRDefault="008E1DEF">
      <w:pPr>
        <w:rPr>
          <w:lang w:val="en-GB"/>
        </w:rPr>
        <w:sectPr w:rsidR="008E1DEF">
          <w:pgSz w:w="16838" w:h="11906" w:orient="landscape"/>
          <w:pgMar w:top="1440" w:right="1440" w:bottom="1440" w:left="1440" w:header="709" w:footer="709" w:gutter="0"/>
          <w:cols w:space="708"/>
          <w:docGrid w:linePitch="360"/>
        </w:sectPr>
      </w:pPr>
    </w:p>
    <w:p w14:paraId="15723DAC" w14:textId="77777777" w:rsidR="008E1DEF" w:rsidRDefault="00000000">
      <w:pPr>
        <w:pStyle w:val="Sitat"/>
        <w:jc w:val="left"/>
        <w:rPr>
          <w:lang w:val="en-GB"/>
        </w:rPr>
      </w:pPr>
      <w:r>
        <w:rPr>
          <w:lang w:val="en-GB"/>
        </w:rPr>
        <w:lastRenderedPageBreak/>
        <w:t xml:space="preserve">« All projects, even if not targeting disability inclusion specifically, should at the minimum be marked as [‘not targeted’ – </w:t>
      </w:r>
      <w:proofErr w:type="gramStart"/>
      <w:r>
        <w:rPr>
          <w:lang w:val="en-GB"/>
        </w:rPr>
        <w:t>i.e.</w:t>
      </w:r>
      <w:proofErr w:type="gramEnd"/>
      <w:r>
        <w:rPr>
          <w:lang w:val="en-GB"/>
        </w:rPr>
        <w:t xml:space="preserve"> the lowest scoring option]. However, [‘not targeted’] … cannot be used as a default value without having been screened for disability inclusion first. Proper screening is essential to ensure that at minimum projects do not perpetuate or exacerbate the discrimination and exclusion of persons with disabilities. Switzerland should use the marker as an opportunity to screen out any activities that do harm, discriminate or further segregate persons with disabilities. »</w:t>
      </w:r>
      <w:r>
        <w:rPr>
          <w:rStyle w:val="Fotnotereferanse"/>
          <w:lang w:val="en-GB"/>
        </w:rPr>
        <w:footnoteReference w:id="25"/>
      </w:r>
    </w:p>
    <w:p w14:paraId="5AB4B551" w14:textId="08F6015F" w:rsidR="008E1DEF" w:rsidRDefault="00000000">
      <w:pPr>
        <w:rPr>
          <w:lang w:val="en-GB"/>
        </w:rPr>
      </w:pPr>
      <w:r>
        <w:rPr>
          <w:lang w:val="en-GB"/>
        </w:rPr>
        <w:t xml:space="preserve">One simple step to encourage more widespread usage of the disability inclusion policy marker across all of the OECD-DAC membership would be to </w:t>
      </w:r>
      <w:r>
        <w:rPr>
          <w:b/>
          <w:bCs/>
          <w:lang w:val="en-GB"/>
        </w:rPr>
        <w:t>change the marker’s status from a voluntary marker to an obligatory marker</w:t>
      </w:r>
      <w:r>
        <w:rPr>
          <w:lang w:val="en-GB"/>
        </w:rPr>
        <w:t xml:space="preserve"> – bringing it into line with to the large majority of the OECD-DAC’s other markers.</w:t>
      </w:r>
      <w:r>
        <w:rPr>
          <w:rStyle w:val="Fotnotereferanse"/>
          <w:lang w:val="en-GB"/>
        </w:rPr>
        <w:footnoteReference w:id="26"/>
      </w:r>
      <w:r>
        <w:rPr>
          <w:lang w:val="en-GB"/>
        </w:rPr>
        <w:t xml:space="preserve"> A review in 2020 by the OECD-DAC secretariat suggested that two important indicators of the value of markers are (</w:t>
      </w:r>
      <w:proofErr w:type="spellStart"/>
      <w:r>
        <w:rPr>
          <w:lang w:val="en-GB"/>
        </w:rPr>
        <w:t>i</w:t>
      </w:r>
      <w:proofErr w:type="spellEnd"/>
      <w:r>
        <w:rPr>
          <w:lang w:val="en-GB"/>
        </w:rPr>
        <w:t>) the level of use of markers by outside stakeholders ; and (ii) the extent to which markers are linked to specific issues of policy interest, such as monitoring international agreements.</w:t>
      </w:r>
      <w:r>
        <w:rPr>
          <w:rStyle w:val="Fotnotereferanse"/>
          <w:lang w:val="en-GB"/>
        </w:rPr>
        <w:footnoteReference w:id="27"/>
      </w:r>
      <w:r>
        <w:rPr>
          <w:lang w:val="en-GB"/>
        </w:rPr>
        <w:t xml:space="preserve"> Although the disability inclusion policy marker has only been in place for a few years, it already seems to perform well against both of these criteria. The marker is already being widely used by outside stakeholders,</w:t>
      </w:r>
      <w:r>
        <w:rPr>
          <w:rStyle w:val="Fotnotereferanse"/>
          <w:lang w:val="en-GB"/>
        </w:rPr>
        <w:footnoteReference w:id="28"/>
      </w:r>
      <w:r>
        <w:rPr>
          <w:lang w:val="en-GB"/>
        </w:rPr>
        <w:t xml:space="preserve"> despite the data not being available in such user-friendly formats as for some other markers.</w:t>
      </w:r>
      <w:r>
        <w:rPr>
          <w:rStyle w:val="Fotnotereferanse"/>
          <w:lang w:val="en-GB"/>
        </w:rPr>
        <w:footnoteReference w:id="29"/>
      </w:r>
      <w:r>
        <w:rPr>
          <w:lang w:val="en-GB"/>
        </w:rPr>
        <w:t xml:space="preserve"> And the Office of the UN High Commissioner for Human Rights has recommended that the disability inclusion policy marker should be used as a tool for monitoring progress against </w:t>
      </w:r>
      <w:proofErr w:type="spellStart"/>
      <w:r>
        <w:rPr>
          <w:lang w:val="en-GB"/>
        </w:rPr>
        <w:t>CRPD</w:t>
      </w:r>
      <w:proofErr w:type="spellEnd"/>
      <w:r>
        <w:rPr>
          <w:lang w:val="en-GB"/>
        </w:rPr>
        <w:t xml:space="preserve"> Article 32 and has listed the OECD-DAC database as a data source in its monitoring guidance.</w:t>
      </w:r>
      <w:r>
        <w:rPr>
          <w:rStyle w:val="Fotnotereferanse"/>
          <w:lang w:val="en-GB"/>
        </w:rPr>
        <w:footnoteReference w:id="30"/>
      </w:r>
    </w:p>
    <w:p w14:paraId="619CC95A" w14:textId="02F09673" w:rsidR="008E1DEF" w:rsidRDefault="00000000">
      <w:pPr>
        <w:rPr>
          <w:lang w:val="en-GB"/>
        </w:rPr>
      </w:pPr>
      <w:r>
        <w:rPr>
          <w:lang w:val="en-GB"/>
        </w:rPr>
        <w:t xml:space="preserve">A further opportunity would be to </w:t>
      </w:r>
      <w:r>
        <w:rPr>
          <w:b/>
          <w:bCs/>
          <w:lang w:val="en-GB"/>
        </w:rPr>
        <w:t xml:space="preserve">encourage more organisations outside the OECD-DAC membership – including multilateral agencies and philanthropies – to report data using the disability inclusion policy marker. </w:t>
      </w:r>
      <w:r>
        <w:rPr>
          <w:lang w:val="en-GB"/>
        </w:rPr>
        <w:t xml:space="preserve">Many multilateral and philanthropic organisations report on their spending using the OECD-DAC’s database. Yet as </w:t>
      </w:r>
      <w:proofErr w:type="gramStart"/>
      <w:r>
        <w:rPr>
          <w:lang w:val="en-GB"/>
        </w:rPr>
        <w:t>at</w:t>
      </w:r>
      <w:proofErr w:type="gramEnd"/>
      <w:r>
        <w:rPr>
          <w:lang w:val="en-GB"/>
        </w:rPr>
        <w:t xml:space="preserve"> 2021, no multilateral</w:t>
      </w:r>
      <w:r>
        <w:rPr>
          <w:rStyle w:val="Fotnotereferanse"/>
          <w:lang w:val="en-GB"/>
        </w:rPr>
        <w:footnoteReference w:id="31"/>
      </w:r>
      <w:r>
        <w:rPr>
          <w:lang w:val="en-GB"/>
        </w:rPr>
        <w:t xml:space="preserve">  organisations used the disability inclusion policy marker as part of such reporting. Among philanthropic organisations, use of the marker was limited to the Bill and Melinda Gates Foundation and the Bezos Earth Fund – the latter of which only recorded marker scores of zero.</w:t>
      </w:r>
      <w:r>
        <w:rPr>
          <w:rStyle w:val="Fotnotereferanse"/>
          <w:lang w:val="en-GB"/>
        </w:rPr>
        <w:footnoteReference w:id="32"/>
      </w:r>
      <w:r>
        <w:rPr>
          <w:lang w:val="en-GB"/>
        </w:rPr>
        <w:t xml:space="preserve"> This missed opportunity to use the marker is particularly striking in the case of those organisations that have already developed their own </w:t>
      </w:r>
      <w:r>
        <w:rPr>
          <w:lang w:val="en-GB"/>
        </w:rPr>
        <w:lastRenderedPageBreak/>
        <w:t xml:space="preserve">disability policy </w:t>
      </w:r>
      <w:proofErr w:type="spellStart"/>
      <w:r>
        <w:rPr>
          <w:lang w:val="en-GB"/>
        </w:rPr>
        <w:t>markers</w:t>
      </w:r>
      <w:proofErr w:type="spellEnd"/>
      <w:r>
        <w:rPr>
          <w:lang w:val="en-GB"/>
        </w:rPr>
        <w:t>, since often these markers are materially compatible with the disability inclusion policy marker used by the OECD-DAC :</w:t>
      </w:r>
      <w:r>
        <w:rPr>
          <w:rStyle w:val="Fotnotereferanse"/>
          <w:lang w:val="en-GB"/>
        </w:rPr>
        <w:footnoteReference w:id="33"/>
      </w:r>
      <w:r>
        <w:rPr>
          <w:lang w:val="en-GB"/>
        </w:rPr>
        <w:t xml:space="preserve"> reporting marker data through the OECD-DAC system would therefore require relatively little additional work, but would allow stakeholders much more detailed insights into these organisations’ disability marker results,</w:t>
      </w:r>
      <w:r>
        <w:rPr>
          <w:rStyle w:val="Fotnotereferanse"/>
          <w:lang w:val="en-GB"/>
        </w:rPr>
        <w:footnoteReference w:id="34"/>
      </w:r>
      <w:r>
        <w:rPr>
          <w:lang w:val="en-GB"/>
        </w:rPr>
        <w:t xml:space="preserve"> as well as opening up greater scope for comparisons and learning between organisations.</w:t>
      </w:r>
      <w:r>
        <w:rPr>
          <w:rStyle w:val="Fotnotereferanse"/>
          <w:lang w:val="en-GB"/>
        </w:rPr>
        <w:footnoteReference w:id="35"/>
      </w:r>
      <w:r>
        <w:rPr>
          <w:lang w:val="en-GB"/>
        </w:rPr>
        <w:t xml:space="preserve">  </w:t>
      </w:r>
    </w:p>
    <w:tbl>
      <w:tblPr>
        <w:tblStyle w:val="Tabellrutenett"/>
        <w:tblW w:w="0" w:type="auto"/>
        <w:tblLook w:val="04A0" w:firstRow="1" w:lastRow="0" w:firstColumn="1" w:lastColumn="0" w:noHBand="0" w:noVBand="1"/>
      </w:tblPr>
      <w:tblGrid>
        <w:gridCol w:w="9016"/>
      </w:tblGrid>
      <w:tr w:rsidR="008E1DEF" w14:paraId="015582D4" w14:textId="77777777">
        <w:tc>
          <w:tcPr>
            <w:tcW w:w="9016" w:type="dxa"/>
          </w:tcPr>
          <w:p w14:paraId="56E5753C" w14:textId="77777777" w:rsidR="008E1DEF" w:rsidRDefault="00000000">
            <w:pPr>
              <w:rPr>
                <w:b/>
                <w:bCs/>
                <w:lang w:val="en-GB"/>
              </w:rPr>
            </w:pPr>
            <w:r>
              <w:rPr>
                <w:b/>
                <w:bCs/>
                <w:lang w:val="en-GB"/>
              </w:rPr>
              <w:t>Suggested questions for discussion on opportunity 1</w:t>
            </w:r>
          </w:p>
          <w:p w14:paraId="3BCF5C15" w14:textId="77777777" w:rsidR="008E1DEF" w:rsidRDefault="00000000">
            <w:pPr>
              <w:pStyle w:val="Listeavsnitt"/>
              <w:numPr>
                <w:ilvl w:val="0"/>
                <w:numId w:val="6"/>
              </w:numPr>
              <w:rPr>
                <w:b/>
                <w:bCs/>
                <w:lang w:val="en-GB"/>
              </w:rPr>
            </w:pPr>
            <w:r>
              <w:rPr>
                <w:lang w:val="en-GB"/>
              </w:rPr>
              <w:t>What can be learnt from the experiences of OECD-DAC members who have a strong track record in using the disability inclusion policy marker, which might encourage greater uptake among other organisations both within and beyond the OECD-</w:t>
            </w:r>
            <w:proofErr w:type="gramStart"/>
            <w:r>
              <w:rPr>
                <w:lang w:val="en-GB"/>
              </w:rPr>
              <w:t>DAC ?</w:t>
            </w:r>
            <w:proofErr w:type="gramEnd"/>
          </w:p>
          <w:p w14:paraId="1D0C70F1" w14:textId="77777777" w:rsidR="008E1DEF" w:rsidRDefault="00000000">
            <w:pPr>
              <w:pStyle w:val="Listeavsnitt"/>
              <w:numPr>
                <w:ilvl w:val="0"/>
                <w:numId w:val="6"/>
              </w:numPr>
              <w:rPr>
                <w:b/>
                <w:bCs/>
                <w:lang w:val="en-GB"/>
              </w:rPr>
            </w:pPr>
            <w:r>
              <w:rPr>
                <w:lang w:val="en-GB"/>
              </w:rPr>
              <w:t xml:space="preserve">Could it be time to reconsider the case for making the OECD-DAC disability inclusion policy marker obligatory, taking into account evidence from its first four years of </w:t>
            </w:r>
            <w:proofErr w:type="gramStart"/>
            <w:r>
              <w:rPr>
                <w:lang w:val="en-GB"/>
              </w:rPr>
              <w:t>use ?</w:t>
            </w:r>
            <w:proofErr w:type="gramEnd"/>
          </w:p>
        </w:tc>
      </w:tr>
    </w:tbl>
    <w:p w14:paraId="4888B81C" w14:textId="77777777" w:rsidR="008E1DEF" w:rsidRDefault="008E1DEF">
      <w:pPr>
        <w:rPr>
          <w:b/>
          <w:bCs/>
          <w:lang w:val="en-GB"/>
        </w:rPr>
      </w:pPr>
    </w:p>
    <w:p w14:paraId="400BF3BF" w14:textId="1D61E5D3" w:rsidR="008E1DEF" w:rsidRDefault="00000000">
      <w:pPr>
        <w:pStyle w:val="Overskrift3"/>
        <w:rPr>
          <w:b/>
          <w:bCs/>
          <w:lang w:val="en-GB"/>
        </w:rPr>
      </w:pPr>
      <w:bookmarkStart w:id="9" w:name="_Toc129039826"/>
      <w:r>
        <w:rPr>
          <w:b/>
          <w:bCs/>
          <w:lang w:val="en-GB"/>
        </w:rPr>
        <w:t>Opportunity 2: Make full use of disability inclusion policy marker results for learning</w:t>
      </w:r>
      <w:bookmarkEnd w:id="9"/>
    </w:p>
    <w:p w14:paraId="2592C912" w14:textId="4FBA9A0E" w:rsidR="008E1DEF" w:rsidRDefault="00000000">
      <w:pPr>
        <w:rPr>
          <w:lang w:val="en-GB"/>
        </w:rPr>
      </w:pPr>
      <w:r>
        <w:rPr>
          <w:lang w:val="en-GB"/>
        </w:rPr>
        <w:t xml:space="preserve">The disability inclusion policy marker can offer insights ranging from macro level trends to project-level detail. </w:t>
      </w:r>
    </w:p>
    <w:p w14:paraId="0B38737C" w14:textId="2BDBEBA5" w:rsidR="008E1DEF" w:rsidRDefault="00000000">
      <w:pPr>
        <w:rPr>
          <w:lang w:val="en-GB"/>
        </w:rPr>
      </w:pPr>
      <w:r>
        <w:rPr>
          <w:lang w:val="en-GB"/>
        </w:rPr>
        <w:t xml:space="preserve">At the macro level, the disability inclusion policy marker offers a snapshot of OECD-DAC members’ evolving commitment to promoting inclusion of persons with disabilities. In 2021, the most recent year for which data are available, only </w:t>
      </w:r>
      <w:r>
        <w:rPr>
          <w:b/>
          <w:bCs/>
          <w:lang w:val="en-GB"/>
        </w:rPr>
        <w:t>around 4.2% of all OECD-DAC members’ allocable ODA projects were reported to have objectives relating to the inclusion of persons with disabilities.</w:t>
      </w:r>
      <w:r>
        <w:rPr>
          <w:rStyle w:val="Fotnotereferanse"/>
          <w:b/>
          <w:bCs/>
          <w:lang w:val="en-GB"/>
        </w:rPr>
        <w:footnoteReference w:id="36"/>
      </w:r>
      <w:r>
        <w:rPr>
          <w:lang w:val="en-GB"/>
        </w:rPr>
        <w:t xml:space="preserve"> This is a worrying result, since it means that for over 95% of allocable ODA projects, either the objectives did not relate to the inclusion of persons with disabilities – in contravention of countries’ obligations under the </w:t>
      </w:r>
      <w:proofErr w:type="spellStart"/>
      <w:r>
        <w:rPr>
          <w:lang w:val="en-GB"/>
        </w:rPr>
        <w:t>CRPD</w:t>
      </w:r>
      <w:proofErr w:type="spellEnd"/>
      <w:r>
        <w:rPr>
          <w:lang w:val="en-GB"/>
        </w:rPr>
        <w:t xml:space="preserve">, or no data are available. What is more, there is little sign that the number of projects with objectives on inclusion of persons with disabilities is increasing as time goes </w:t>
      </w:r>
      <w:proofErr w:type="gramStart"/>
      <w:r>
        <w:rPr>
          <w:lang w:val="en-GB"/>
        </w:rPr>
        <w:t>on :</w:t>
      </w:r>
      <w:proofErr w:type="gramEnd"/>
      <w:r>
        <w:rPr>
          <w:lang w:val="en-GB"/>
        </w:rPr>
        <w:t xml:space="preserve"> the result of 4.2% in 2021 actually represents a slight decrease from 2020 (4.7%) and is the same as the result in 2019.</w:t>
      </w:r>
      <w:r>
        <w:rPr>
          <w:rStyle w:val="Fotnotereferanse"/>
          <w:lang w:val="en-GB"/>
        </w:rPr>
        <w:footnoteReference w:id="37"/>
      </w:r>
    </w:p>
    <w:p w14:paraId="78F6A496" w14:textId="248F5D5C" w:rsidR="008E1DEF" w:rsidRDefault="00000000">
      <w:pPr>
        <w:rPr>
          <w:lang w:val="en-GB"/>
        </w:rPr>
      </w:pPr>
      <w:r>
        <w:rPr>
          <w:lang w:val="en-GB"/>
        </w:rPr>
        <w:t xml:space="preserve">The total percentage of projects with objectives on the inclusion of persons with disabilities can also be broken down into results for individual OECD-DAC members (figure 2). The civil society </w:t>
      </w:r>
      <w:r>
        <w:rPr>
          <w:lang w:val="en-GB"/>
        </w:rPr>
        <w:lastRenderedPageBreak/>
        <w:t xml:space="preserve">organisation </w:t>
      </w:r>
      <w:proofErr w:type="spellStart"/>
      <w:r>
        <w:rPr>
          <w:lang w:val="en-GB"/>
        </w:rPr>
        <w:t>Sightsavers</w:t>
      </w:r>
      <w:proofErr w:type="spellEnd"/>
      <w:r>
        <w:rPr>
          <w:lang w:val="en-GB"/>
        </w:rPr>
        <w:t xml:space="preserve"> is developing a data visualisation tool that allows users to generate their own bespoke versions of such comparisons.</w:t>
      </w:r>
      <w:r>
        <w:rPr>
          <w:rStyle w:val="Fotnotereferanse"/>
          <w:lang w:val="en-GB"/>
        </w:rPr>
        <w:footnoteReference w:id="38"/>
      </w:r>
    </w:p>
    <w:p w14:paraId="46787BC8" w14:textId="1DE6D7E2" w:rsidR="008E1DEF" w:rsidRDefault="00000000">
      <w:pPr>
        <w:rPr>
          <w:lang w:val="en-GB"/>
        </w:rPr>
      </w:pPr>
      <w:r>
        <w:rPr>
          <w:lang w:val="en-GB"/>
        </w:rPr>
        <w:t>Comparisons between OECD-DAC members need to be treated with caution, as there is currently no centralised process for detailed quality assurance of disability inclusion policy marker data,</w:t>
      </w:r>
      <w:r>
        <w:rPr>
          <w:rStyle w:val="Fotnotereferanse"/>
          <w:lang w:val="en-GB"/>
        </w:rPr>
        <w:footnoteReference w:id="39"/>
      </w:r>
      <w:r>
        <w:rPr>
          <w:lang w:val="en-GB"/>
        </w:rPr>
        <w:t xml:space="preserve"> so differences between OECD-DAC members may reflect differences in their interpretation of how to apply the marker, as well as underlying differences in their approach to the inclusion of persons with disabilities (see also discussion under opportunity 3, below). Still, comparisons between countries can offer some initial clues on where better practices </w:t>
      </w:r>
      <w:r>
        <w:rPr>
          <w:b/>
          <w:bCs/>
          <w:lang w:val="en-GB"/>
        </w:rPr>
        <w:t xml:space="preserve">may </w:t>
      </w:r>
      <w:r>
        <w:rPr>
          <w:lang w:val="en-GB"/>
        </w:rPr>
        <w:t xml:space="preserve">exist, and where there could </w:t>
      </w:r>
      <w:r>
        <w:rPr>
          <w:b/>
          <w:bCs/>
          <w:lang w:val="en-GB"/>
        </w:rPr>
        <w:t xml:space="preserve">potentially </w:t>
      </w:r>
      <w:r>
        <w:rPr>
          <w:lang w:val="en-GB"/>
        </w:rPr>
        <w:t>be opportunities for peer learning, so they can be a worthwhile starting point for more in-depth investigations.</w:t>
      </w:r>
    </w:p>
    <w:p w14:paraId="4AF693F6" w14:textId="06568C72" w:rsidR="008E1DEF" w:rsidRDefault="00000000">
      <w:pPr>
        <w:pStyle w:val="Overskrift4"/>
        <w:rPr>
          <w:b/>
          <w:bCs/>
          <w:lang w:val="en-GB"/>
        </w:rPr>
      </w:pPr>
      <w:r>
        <w:rPr>
          <w:b/>
          <w:bCs/>
          <w:lang w:val="en-GB"/>
        </w:rPr>
        <w:t>Technical note on the results for Norway</w:t>
      </w:r>
    </w:p>
    <w:p w14:paraId="47B828B9" w14:textId="09B49D6E" w:rsidR="008E1DEF" w:rsidRDefault="00000000">
      <w:pPr>
        <w:pStyle w:val="Fotnotetekst"/>
        <w:rPr>
          <w:sz w:val="22"/>
          <w:szCs w:val="22"/>
          <w:lang w:val="en-GB"/>
        </w:rPr>
      </w:pPr>
      <w:r>
        <w:rPr>
          <w:sz w:val="22"/>
          <w:szCs w:val="22"/>
          <w:lang w:val="en-GB"/>
        </w:rPr>
        <w:t xml:space="preserve">In 2021, </w:t>
      </w:r>
      <w:proofErr w:type="spellStart"/>
      <w:r>
        <w:rPr>
          <w:sz w:val="22"/>
          <w:szCs w:val="22"/>
          <w:lang w:val="en-GB"/>
        </w:rPr>
        <w:t>Norad</w:t>
      </w:r>
      <w:proofErr w:type="spellEnd"/>
      <w:r>
        <w:rPr>
          <w:sz w:val="22"/>
          <w:szCs w:val="22"/>
          <w:lang w:val="en-GB"/>
        </w:rPr>
        <w:t xml:space="preserve"> published a </w:t>
      </w:r>
      <w:hyperlink r:id="rId14" w:history="1">
        <w:r>
          <w:rPr>
            <w:rStyle w:val="Hyperkobling"/>
            <w:sz w:val="22"/>
            <w:szCs w:val="22"/>
            <w:lang w:val="en-GB"/>
          </w:rPr>
          <w:t>Mapping of Norwegian efforts to include persons with disabilities in development assistance, 2010-2019</w:t>
        </w:r>
      </w:hyperlink>
      <w:r>
        <w:rPr>
          <w:sz w:val="22"/>
          <w:szCs w:val="22"/>
          <w:lang w:val="en-GB"/>
        </w:rPr>
        <w:t xml:space="preserve"> (authors: Larsen and Nilsson, NIDS Development Services). Please note that the numbers shown in Figure 2 are not directly comparable with the numbers in </w:t>
      </w:r>
      <w:proofErr w:type="spellStart"/>
      <w:r>
        <w:rPr>
          <w:sz w:val="22"/>
          <w:szCs w:val="22"/>
          <w:lang w:val="en-GB"/>
        </w:rPr>
        <w:t>Norad’s</w:t>
      </w:r>
      <w:proofErr w:type="spellEnd"/>
      <w:r>
        <w:rPr>
          <w:sz w:val="22"/>
          <w:szCs w:val="22"/>
          <w:lang w:val="en-GB"/>
        </w:rPr>
        <w:t xml:space="preserve"> report. Overall, the percentages in this report tend to be higher than those cited in the mapping study. Both sets of calculations are accurate when set in their respective contexts: the divergence between the figures is the result of differences in source data and methodology. Key differences include that: (</w:t>
      </w:r>
      <w:proofErr w:type="spellStart"/>
      <w:r>
        <w:rPr>
          <w:sz w:val="22"/>
          <w:szCs w:val="22"/>
          <w:lang w:val="en-GB"/>
        </w:rPr>
        <w:t>i</w:t>
      </w:r>
      <w:proofErr w:type="spellEnd"/>
      <w:r>
        <w:rPr>
          <w:sz w:val="22"/>
          <w:szCs w:val="22"/>
          <w:lang w:val="en-GB"/>
        </w:rPr>
        <w:t xml:space="preserve">) as discussed under opportunity 3 below, the data used for the mapping study underwent a detailed quality assurance process, so does not correspond to the raw data reported in the OECD-DAC Creditor Reporting System database; (ii) the analysis in the mapping study is based on the </w:t>
      </w:r>
      <w:r>
        <w:rPr>
          <w:b/>
          <w:bCs/>
          <w:sz w:val="22"/>
          <w:szCs w:val="22"/>
          <w:lang w:val="en-GB"/>
        </w:rPr>
        <w:t>value of spending</w:t>
      </w:r>
      <w:r>
        <w:rPr>
          <w:sz w:val="22"/>
          <w:szCs w:val="22"/>
          <w:lang w:val="en-GB"/>
        </w:rPr>
        <w:t xml:space="preserve"> on projects reported to be disability-inclusive, whereas the analysis in this report is based on the </w:t>
      </w:r>
      <w:r>
        <w:rPr>
          <w:b/>
          <w:bCs/>
          <w:sz w:val="22"/>
          <w:szCs w:val="22"/>
          <w:lang w:val="en-GB"/>
        </w:rPr>
        <w:t xml:space="preserve">number of projects; </w:t>
      </w:r>
      <w:r>
        <w:rPr>
          <w:sz w:val="22"/>
          <w:szCs w:val="22"/>
          <w:lang w:val="en-GB"/>
        </w:rPr>
        <w:t xml:space="preserve">and (iii) the percentages in the mapping study are calculated on the basis of total ODA (including non-allocable bilateral ODA and including contributions to multilateral agencies), whereas the percentages in this analysis are calculated on the basis of allocable ODA (for more on the reasons for this approach, see the technical note in the introduction to this report). </w:t>
      </w:r>
    </w:p>
    <w:p w14:paraId="06964675" w14:textId="77777777" w:rsidR="008E1DEF" w:rsidRDefault="008E1DEF">
      <w:pPr>
        <w:pStyle w:val="Fotnotetekst"/>
        <w:rPr>
          <w:sz w:val="22"/>
          <w:szCs w:val="22"/>
          <w:lang w:val="en-GB"/>
        </w:rPr>
      </w:pPr>
    </w:p>
    <w:p w14:paraId="41569B60" w14:textId="77777777" w:rsidR="008E1DEF" w:rsidRDefault="008E1DEF">
      <w:pPr>
        <w:rPr>
          <w:lang w:val="en-GB"/>
        </w:rPr>
      </w:pPr>
    </w:p>
    <w:p w14:paraId="1731767C" w14:textId="77777777" w:rsidR="008E1DEF" w:rsidRDefault="00000000">
      <w:pPr>
        <w:rPr>
          <w:lang w:val="en-GB"/>
        </w:rPr>
      </w:pPr>
      <w:r>
        <w:rPr>
          <w:lang w:val="en-GB"/>
        </w:rPr>
        <w:br w:type="page"/>
      </w:r>
    </w:p>
    <w:p w14:paraId="5F9B29D1" w14:textId="77777777" w:rsidR="008E1DEF" w:rsidRDefault="008E1DEF">
      <w:pPr>
        <w:rPr>
          <w:lang w:val="en-GB"/>
        </w:rPr>
        <w:sectPr w:rsidR="008E1DEF">
          <w:pgSz w:w="11906" w:h="16838"/>
          <w:pgMar w:top="1440" w:right="1440" w:bottom="1440" w:left="1440" w:header="709" w:footer="709" w:gutter="0"/>
          <w:cols w:space="708"/>
          <w:docGrid w:linePitch="360"/>
        </w:sectPr>
      </w:pPr>
    </w:p>
    <w:p w14:paraId="5EA02EA9" w14:textId="79BD13A9" w:rsidR="008E1DEF" w:rsidRDefault="00000000">
      <w:pPr>
        <w:rPr>
          <w:b/>
          <w:bCs/>
          <w:lang w:val="en-GB"/>
        </w:rPr>
      </w:pPr>
      <w:r>
        <w:rPr>
          <w:b/>
          <w:bCs/>
          <w:lang w:val="en-GB"/>
        </w:rPr>
        <w:lastRenderedPageBreak/>
        <w:t xml:space="preserve">Figure </w:t>
      </w:r>
      <w:proofErr w:type="gramStart"/>
      <w:r>
        <w:rPr>
          <w:b/>
          <w:bCs/>
          <w:lang w:val="en-GB"/>
        </w:rPr>
        <w:t>2 :</w:t>
      </w:r>
      <w:proofErr w:type="gramEnd"/>
      <w:r>
        <w:rPr>
          <w:b/>
          <w:bCs/>
          <w:lang w:val="en-GB"/>
        </w:rPr>
        <w:t xml:space="preserve"> The share of projects reported to have objectives on inclusion of persons with disabilities varies substantially depending on the OECD-DAC member.</w:t>
      </w:r>
    </w:p>
    <w:p w14:paraId="422AED46" w14:textId="77777777" w:rsidR="008E1DEF" w:rsidRDefault="00000000">
      <w:pPr>
        <w:rPr>
          <w:lang w:val="en-GB"/>
        </w:rPr>
      </w:pPr>
      <w:r>
        <w:rPr>
          <w:lang w:val="en-GB"/>
        </w:rPr>
        <w:t>Please note the chart zooms in on the lowest part of the vertical axis, and the scale does not go up to 100%. This means that even the highest bar on the chart only implies that 43% of projects had reported objectives on the inclusion of persons with disabilities, and the remaining 57% did not.</w:t>
      </w:r>
    </w:p>
    <w:p w14:paraId="03DD7525" w14:textId="77777777" w:rsidR="008E1DEF" w:rsidRDefault="00000000">
      <w:pPr>
        <w:rPr>
          <w:b/>
          <w:bCs/>
          <w:lang w:val="en-GB"/>
        </w:rPr>
      </w:pPr>
      <w:r>
        <w:rPr>
          <w:noProof/>
          <w:lang w:val="en-GB"/>
        </w:rPr>
        <w:drawing>
          <wp:inline distT="0" distB="0" distL="0" distR="0" wp14:anchorId="109705B4" wp14:editId="1194FE83">
            <wp:extent cx="8890000" cy="2800350"/>
            <wp:effectExtent l="0" t="0" r="6350" b="0"/>
            <wp:docPr id="4" name="Chart 4" descr="A bar chart with a bar for each OECD-DAC member, showing (a) the percentage of allocable projects marked as having a *principal* objective on disability inclusion, and (b) the percentage of allocable projects marked as having a *significant* objective on disability inclusion. The percentages for disability inclusion as a principal objective are as follows. Aotearoa New Zealand: 2%; Australia: 0%; Austria: 1%; Belgium: 0%; Canada: 2%; Czech Republic: 2%; Denmark: 0%; European Union: 1%; Finland: 6%; France: 0%; Germany: 0%; Greece: 0%; Hungary: 0%; Iceland: 1%; Ireland: 8%; Italy: 5%; Japan: 1%; Korea: 0%; Luxembourg: 0%; Netherlands: 0%; Norway: 2%; Poland: 5%; Portugal: 0%; Slovak Republic: 0%; Slovenia: 0%; Spain: 3%; Sweden: 1%; Switzerland: 1%; United Kingdom: 3%; United States: 0%. The percentages for disability inclusion as a significant objective are as follows. Aotearoa New Zealand: 6%; Australia: 6%; Austria: 3%; Belgium: 0%; Canada: 7%; Czech Republic: 7%; Denmark: 0%; European Union: 23%; Finland: 19%; France: 2%; Germany: 0%; Greece: 0%; Hungary: 0%; Iceland: 42%; Ireland: 12%; Italy: 9%; Japan: 1%; Korea: 0%; Luxembourg: 0%; Netherlands: 0%; Norway: 4%; Poland: 12%; Portugal: 0%; Slovak Republic: 0%; Slovenia: 0%; Spain: 7%; Sweden: 8%; Switzerland: 3%; United Kingdom: 14%; United States: 0%.">
              <a:extLst xmlns:a="http://schemas.openxmlformats.org/drawingml/2006/main">
                <a:ext uri="{FF2B5EF4-FFF2-40B4-BE49-F238E27FC236}">
                  <a16:creationId xmlns:a16="http://schemas.microsoft.com/office/drawing/2014/main" id="{FBD0BD1D-F7C8-EDD9-7818-77EBEE7FFD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E3B055" w14:textId="0B2E1D62" w:rsidR="008E1DEF" w:rsidRDefault="00000000">
      <w:pPr>
        <w:rPr>
          <w:sz w:val="20"/>
          <w:szCs w:val="20"/>
          <w:lang w:val="en-GB"/>
        </w:rPr>
      </w:pPr>
      <w:r>
        <w:rPr>
          <w:sz w:val="20"/>
          <w:szCs w:val="20"/>
          <w:lang w:val="en-GB"/>
        </w:rPr>
        <w:t xml:space="preserve">Source: Author’s analysis of OECD-DAC Creditor Reporting System data on allocable ODA commitments in 2021 – the most recent year for which data are available. Data were downloaded in January 2023. Negative commitments were excluded from the analysis. The percentages relate to the </w:t>
      </w:r>
      <w:r>
        <w:rPr>
          <w:b/>
          <w:bCs/>
          <w:sz w:val="20"/>
          <w:szCs w:val="20"/>
          <w:lang w:val="en-GB"/>
        </w:rPr>
        <w:t xml:space="preserve">number of projects </w:t>
      </w:r>
      <w:r>
        <w:rPr>
          <w:sz w:val="20"/>
          <w:szCs w:val="20"/>
          <w:lang w:val="en-GB"/>
        </w:rPr>
        <w:t>for which the marker was used (as opposed to the value of spending on those projects).</w:t>
      </w:r>
    </w:p>
    <w:p w14:paraId="76F086F1" w14:textId="77777777" w:rsidR="008E1DEF" w:rsidRDefault="008E1DEF">
      <w:pPr>
        <w:rPr>
          <w:lang w:val="en-GB"/>
        </w:rPr>
        <w:sectPr w:rsidR="008E1DEF">
          <w:pgSz w:w="16838" w:h="11906" w:orient="landscape"/>
          <w:pgMar w:top="1440" w:right="1440" w:bottom="1440" w:left="1440" w:header="709" w:footer="709" w:gutter="0"/>
          <w:cols w:space="708"/>
          <w:docGrid w:linePitch="360"/>
        </w:sectPr>
      </w:pPr>
    </w:p>
    <w:p w14:paraId="0475B222" w14:textId="77777777" w:rsidR="008E1DEF" w:rsidRDefault="00000000">
      <w:pPr>
        <w:rPr>
          <w:lang w:val="en-GB"/>
        </w:rPr>
      </w:pPr>
      <w:r>
        <w:rPr>
          <w:lang w:val="en-GB"/>
        </w:rPr>
        <w:lastRenderedPageBreak/>
        <w:t>Because the disability inclusion policy marker is an integral part of the OECD-DAC’s ODA spending database, it is possible not only to look at marker results in isolation, but also to cross-refer between marker data and the many other categories of data captured in the database. The following three examples illustrate how a range of organisations of persons with disabilities, civil society organisations and researchers have begun to make use of disability inclusion policy marker data in this way.</w:t>
      </w:r>
    </w:p>
    <w:p w14:paraId="323F6917" w14:textId="2CAE714B" w:rsidR="008E1DEF" w:rsidRDefault="00000000">
      <w:pPr>
        <w:pStyle w:val="Overskrift4"/>
        <w:rPr>
          <w:b/>
          <w:bCs/>
          <w:lang w:val="en-GB"/>
        </w:rPr>
      </w:pPr>
      <w:r>
        <w:rPr>
          <w:b/>
          <w:bCs/>
          <w:lang w:val="en-GB"/>
        </w:rPr>
        <w:t>Cross-referring to sectoral data: Example of analysis on Norwegian ODA </w:t>
      </w:r>
    </w:p>
    <w:p w14:paraId="45AF6DAC" w14:textId="5EBD4A8F" w:rsidR="008E1DEF" w:rsidRDefault="00000000">
      <w:pPr>
        <w:rPr>
          <w:lang w:val="en-GB"/>
        </w:rPr>
      </w:pPr>
      <w:r>
        <w:rPr>
          <w:lang w:val="en-GB"/>
        </w:rPr>
        <w:t xml:space="preserve">The 2021 mapping study on efforts to include persons with disabilities in development assistance (commissioned by </w:t>
      </w:r>
      <w:proofErr w:type="spellStart"/>
      <w:r>
        <w:rPr>
          <w:lang w:val="en-GB"/>
        </w:rPr>
        <w:t>Norad’s</w:t>
      </w:r>
      <w:proofErr w:type="spellEnd"/>
      <w:r>
        <w:rPr>
          <w:lang w:val="en-GB"/>
        </w:rPr>
        <w:t xml:space="preserve"> evaluation department, carried out by NIDS Development Services) includes extensive analysis on the extent to which Norwegian ODA spending in different sectors seeks to be inclusive of persons with disabilities. Using the OECD-DAC disability inclusion policy marker definitions and eligibility criteria, the study found that in 2019, 32% of spending in the education sector aimed to be disability inclusive, compared with 2% in the health and social services sector, and less than 1% in the humanitarian sector. The study also drilled down to identify some of the main projects that sought to be disability inclusive in various sectors and presented the sector-based spending data in the context of Norway’s wider policy commitments.</w:t>
      </w:r>
      <w:r>
        <w:rPr>
          <w:rStyle w:val="Fotnotereferanse"/>
          <w:lang w:val="en-GB"/>
        </w:rPr>
        <w:footnoteReference w:id="40"/>
      </w:r>
      <w:r>
        <w:rPr>
          <w:lang w:val="en-GB"/>
        </w:rPr>
        <w:t xml:space="preserve"> These insights from this kind of analysis could be an important first step to identifying priority actions to drive up ambitions on disability inclusion across </w:t>
      </w:r>
      <w:r>
        <w:rPr>
          <w:b/>
          <w:bCs/>
          <w:lang w:val="en-GB"/>
        </w:rPr>
        <w:t xml:space="preserve">all </w:t>
      </w:r>
      <w:r>
        <w:rPr>
          <w:lang w:val="en-GB"/>
        </w:rPr>
        <w:t>sectors.</w:t>
      </w:r>
    </w:p>
    <w:p w14:paraId="760F42E9" w14:textId="6CA6B51F" w:rsidR="008E1DEF" w:rsidRDefault="00000000">
      <w:pPr>
        <w:pStyle w:val="Overskrift4"/>
        <w:rPr>
          <w:b/>
          <w:bCs/>
          <w:lang w:val="en-GB"/>
        </w:rPr>
      </w:pPr>
      <w:r>
        <w:rPr>
          <w:b/>
          <w:bCs/>
          <w:lang w:val="en-GB"/>
        </w:rPr>
        <w:t>Cross-referring to geographic data: Example of analysis on Swiss ODA</w:t>
      </w:r>
    </w:p>
    <w:p w14:paraId="4286E645" w14:textId="77777777" w:rsidR="008E1DEF" w:rsidRDefault="00000000">
      <w:pPr>
        <w:rPr>
          <w:lang w:val="en-GB"/>
        </w:rPr>
      </w:pPr>
      <w:r>
        <w:rPr>
          <w:lang w:val="en-GB"/>
        </w:rPr>
        <w:t>An analysis of Switzerland’s ODA spending in 2019 by the civil society organisation CBM Switzerland found that projects reported as disability-inclusive tended to be clustered in certain countries. Out of 160 allocable ODA projects reported to have objectives on inclusion of persons with disabilities in 2019, 32 were in Myanmar, and a further 11 were in Afghanistan.</w:t>
      </w:r>
      <w:r>
        <w:rPr>
          <w:rStyle w:val="Fotnotereferanse"/>
          <w:lang w:val="en-GB"/>
        </w:rPr>
        <w:footnoteReference w:id="41"/>
      </w:r>
      <w:r>
        <w:rPr>
          <w:lang w:val="en-GB"/>
        </w:rPr>
        <w:t xml:space="preserve"> This suggests there could be scope for Switzerland to explore the factors leading to higher numbers of reported disability-inclusive projects in these two countries. If good practices are found, Switzerland could then assess whether the same good practices could be adapted to other countries where it works.</w:t>
      </w:r>
    </w:p>
    <w:p w14:paraId="4C3CC832" w14:textId="4B701F53" w:rsidR="008E1DEF" w:rsidRDefault="00000000">
      <w:pPr>
        <w:pStyle w:val="Overskrift4"/>
        <w:rPr>
          <w:b/>
          <w:bCs/>
          <w:lang w:val="en-GB"/>
        </w:rPr>
      </w:pPr>
      <w:r>
        <w:rPr>
          <w:b/>
          <w:bCs/>
          <w:lang w:val="en-GB"/>
        </w:rPr>
        <w:t>Cross-referring to other policy markers: Example of analysis on European Commission ODA</w:t>
      </w:r>
    </w:p>
    <w:p w14:paraId="52D90BEA" w14:textId="7CDAC27B" w:rsidR="008E1DEF" w:rsidRDefault="00000000">
      <w:pPr>
        <w:rPr>
          <w:lang w:val="en-GB"/>
        </w:rPr>
      </w:pPr>
      <w:r>
        <w:rPr>
          <w:lang w:val="en-GB"/>
        </w:rPr>
        <w:t>An analysis of the European Commission’s ODA in 2020 by the European Disability Forum – an organisation of persons with disabilities – examined the overlap between the disability inclusion policy marker and the OECD-DAC’s policy marker on gender equality. It found that out of 956 allocable EC ODA projects in 2020, 640 were reported to have objectives on gender equality (either as the principal objective, or as a significant objective). Of these 640 projects with objectives on gender equality, only around 22% also had objectives on disability inclusion.</w:t>
      </w:r>
      <w:r>
        <w:rPr>
          <w:rStyle w:val="Fotnotereferanse"/>
          <w:lang w:val="en-GB"/>
        </w:rPr>
        <w:footnoteReference w:id="42"/>
      </w:r>
      <w:r>
        <w:rPr>
          <w:lang w:val="en-GB"/>
        </w:rPr>
        <w:t xml:space="preserve"> This suggests that </w:t>
      </w:r>
      <w:r>
        <w:rPr>
          <w:lang w:val="en-GB"/>
        </w:rPr>
        <w:lastRenderedPageBreak/>
        <w:t>there would be opportunities for the European Commission to pay more deliberate attention to the intersection between gender and disability in its gender equality projects.</w:t>
      </w:r>
      <w:r>
        <w:rPr>
          <w:rStyle w:val="Fotnotereferanse"/>
          <w:lang w:val="en-GB"/>
        </w:rPr>
        <w:footnoteReference w:id="43"/>
      </w:r>
      <w:r>
        <w:rPr>
          <w:lang w:val="en-GB"/>
        </w:rPr>
        <w:t xml:space="preserve"> </w:t>
      </w:r>
    </w:p>
    <w:p w14:paraId="6BAB0378" w14:textId="77777777" w:rsidR="008E1DEF" w:rsidRDefault="00000000">
      <w:pPr>
        <w:rPr>
          <w:lang w:val="en-GB"/>
        </w:rPr>
      </w:pPr>
      <w:r>
        <w:rPr>
          <w:lang w:val="en-GB"/>
        </w:rPr>
        <w:t>The disability inclusion policy marker can also be used to offer still more granular insights on individual projects, since the OECD-DAC database lists individual project-level detail such as a project’s title and brief details of its rationale. Some analysts have already started to make use of this project-level detail (as in the Norwegian example mentioned above, and in some forthcoming analysis by Disabled Peoples Organisation Denmark</w:t>
      </w:r>
      <w:r>
        <w:rPr>
          <w:rStyle w:val="Fotnotereferanse"/>
          <w:lang w:val="en-GB"/>
        </w:rPr>
        <w:footnoteReference w:id="44"/>
      </w:r>
      <w:r>
        <w:rPr>
          <w:lang w:val="en-GB"/>
        </w:rPr>
        <w:t>). There are rich opportunities to make further use of this detailed project level data, to understand in more detail the kinds of projects that are being reported as disability inclusive, and whether good practices can be gleaned from them.</w:t>
      </w:r>
    </w:p>
    <w:p w14:paraId="417B2219" w14:textId="1FA6DD33" w:rsidR="008E1DEF" w:rsidRDefault="00000000">
      <w:pPr>
        <w:rPr>
          <w:lang w:val="en-GB"/>
        </w:rPr>
      </w:pPr>
      <w:r>
        <w:rPr>
          <w:lang w:val="en-GB"/>
        </w:rPr>
        <w:t>To be sure, the disability inclusion policy marker has its limits as a learning tool. The first and most basic limitation relates to accessibility: the OECD-DAC database is not accessible to screen reader users, which restricts the scope for some persons with disabilities to make the most of the marker’s potential.</w:t>
      </w:r>
      <w:r>
        <w:rPr>
          <w:rStyle w:val="Fotnotereferanse"/>
          <w:lang w:val="en-GB"/>
        </w:rPr>
        <w:footnoteReference w:id="45"/>
      </w:r>
    </w:p>
    <w:p w14:paraId="1AB10F47" w14:textId="7AEFE3F3" w:rsidR="008E1DEF" w:rsidRDefault="00000000">
      <w:pPr>
        <w:rPr>
          <w:lang w:val="en-GB"/>
        </w:rPr>
      </w:pPr>
      <w:r>
        <w:rPr>
          <w:lang w:val="en-GB"/>
        </w:rPr>
        <w:t xml:space="preserve">Further limitations relate to the marker’s scope. By its nature, the marker gives information on projects’ intentions, but not on their results. And because the marker is applied at the level of entire projects, which (in the case of projects given a marker score of 1) may have multiple objectives, marker data do not translate straightforwardly into granular data on the share of project budgets that contributed directly to the inclusion of persons with disabilities. This means that the marker is most effective when complemented by other monitoring tools. What is more, there are still some challenges in the implementation of the disability inclusion policy marker (see opportunity 3 below) and in its design (see opportunity 4 below). </w:t>
      </w:r>
    </w:p>
    <w:p w14:paraId="15A3D3DD" w14:textId="64A02A80" w:rsidR="008E1DEF" w:rsidRDefault="00000000">
      <w:pPr>
        <w:rPr>
          <w:lang w:val="en-GB"/>
        </w:rPr>
      </w:pPr>
      <w:r>
        <w:rPr>
          <w:lang w:val="en-GB"/>
        </w:rPr>
        <w:t xml:space="preserve">Nevertheless, the disability inclusion policy marker can quickly offer some important clues as to where good practices may exist for potential replication, or poor performance may need attention. The marker is </w:t>
      </w:r>
      <w:proofErr w:type="gramStart"/>
      <w:r>
        <w:rPr>
          <w:lang w:val="en-GB"/>
        </w:rPr>
        <w:t>all the more</w:t>
      </w:r>
      <w:proofErr w:type="gramEnd"/>
      <w:r>
        <w:rPr>
          <w:lang w:val="en-GB"/>
        </w:rPr>
        <w:t xml:space="preserve"> valuable since it is applied at a relatively early stage in the project cycle, and thus can act as a sort of « early warning system »</w:t>
      </w:r>
      <w:r>
        <w:rPr>
          <w:rStyle w:val="Fotnotereferanse"/>
          <w:lang w:val="en-GB"/>
        </w:rPr>
        <w:footnoteReference w:id="46"/>
      </w:r>
      <w:r>
        <w:rPr>
          <w:lang w:val="en-GB"/>
        </w:rPr>
        <w:t xml:space="preserve"> before more extensive project results are available – potentially offering an entry point for wider conversations about how to increase attention to the inclusion of persons with disabilities in project design and implementation.</w:t>
      </w:r>
    </w:p>
    <w:tbl>
      <w:tblPr>
        <w:tblStyle w:val="Tabellrutenett"/>
        <w:tblW w:w="0" w:type="auto"/>
        <w:tblLook w:val="04A0" w:firstRow="1" w:lastRow="0" w:firstColumn="1" w:lastColumn="0" w:noHBand="0" w:noVBand="1"/>
      </w:tblPr>
      <w:tblGrid>
        <w:gridCol w:w="9016"/>
      </w:tblGrid>
      <w:tr w:rsidR="008E1DEF" w14:paraId="64F9E342" w14:textId="77777777">
        <w:tc>
          <w:tcPr>
            <w:tcW w:w="9016" w:type="dxa"/>
          </w:tcPr>
          <w:p w14:paraId="49037A2F" w14:textId="77777777" w:rsidR="008E1DEF" w:rsidRDefault="00000000">
            <w:pPr>
              <w:rPr>
                <w:b/>
                <w:bCs/>
                <w:lang w:val="en-GB"/>
              </w:rPr>
            </w:pPr>
            <w:r>
              <w:rPr>
                <w:b/>
                <w:bCs/>
                <w:lang w:val="en-GB"/>
              </w:rPr>
              <w:t>Suggested questions for discussion on opportunity 2</w:t>
            </w:r>
          </w:p>
          <w:p w14:paraId="2573400E" w14:textId="3F3FDC51" w:rsidR="008E1DEF" w:rsidRDefault="00000000">
            <w:pPr>
              <w:pStyle w:val="Listeavsnitt"/>
              <w:numPr>
                <w:ilvl w:val="0"/>
                <w:numId w:val="11"/>
              </w:numPr>
              <w:rPr>
                <w:lang w:val="en-GB"/>
              </w:rPr>
            </w:pPr>
            <w:r>
              <w:rPr>
                <w:lang w:val="en-GB"/>
              </w:rPr>
              <w:t xml:space="preserve">How can organisations ensure strong feedback loops, so that disability inclusion policy marker data are systematically used to drive up performance on disability inclusion across their </w:t>
            </w:r>
            <w:proofErr w:type="gramStart"/>
            <w:r>
              <w:rPr>
                <w:lang w:val="en-GB"/>
              </w:rPr>
              <w:t>work ?</w:t>
            </w:r>
            <w:proofErr w:type="gramEnd"/>
          </w:p>
          <w:p w14:paraId="516D30E7" w14:textId="77777777" w:rsidR="008E1DEF" w:rsidRDefault="00000000">
            <w:pPr>
              <w:pStyle w:val="Listeavsnitt"/>
              <w:numPr>
                <w:ilvl w:val="0"/>
                <w:numId w:val="11"/>
              </w:numPr>
              <w:rPr>
                <w:lang w:val="en-GB"/>
              </w:rPr>
            </w:pPr>
            <w:r>
              <w:rPr>
                <w:lang w:val="en-GB"/>
              </w:rPr>
              <w:t xml:space="preserve">How can they ensure that organisations of persons with disabilities are closely consulted and actively involved in this learning </w:t>
            </w:r>
            <w:proofErr w:type="gramStart"/>
            <w:r>
              <w:rPr>
                <w:lang w:val="en-GB"/>
              </w:rPr>
              <w:t>process ?</w:t>
            </w:r>
            <w:proofErr w:type="gramEnd"/>
          </w:p>
        </w:tc>
      </w:tr>
    </w:tbl>
    <w:p w14:paraId="619056E8" w14:textId="77777777" w:rsidR="008E1DEF" w:rsidRDefault="008E1DEF">
      <w:pPr>
        <w:rPr>
          <w:lang w:val="en-GB"/>
        </w:rPr>
      </w:pPr>
    </w:p>
    <w:p w14:paraId="7962ECC0" w14:textId="099F360D" w:rsidR="008E1DEF" w:rsidRDefault="00000000">
      <w:pPr>
        <w:pStyle w:val="Overskrift3"/>
        <w:rPr>
          <w:b/>
          <w:bCs/>
          <w:lang w:val="en-GB"/>
        </w:rPr>
      </w:pPr>
      <w:bookmarkStart w:id="10" w:name="_Toc129039827"/>
      <w:r>
        <w:rPr>
          <w:b/>
          <w:bCs/>
          <w:lang w:val="en-GB"/>
        </w:rPr>
        <w:lastRenderedPageBreak/>
        <w:t>Opportunity 3: Drive up data quality</w:t>
      </w:r>
      <w:bookmarkEnd w:id="10"/>
    </w:p>
    <w:p w14:paraId="63218639" w14:textId="645A7377" w:rsidR="008E1DEF" w:rsidRDefault="00000000">
      <w:pPr>
        <w:rPr>
          <w:lang w:val="en-GB"/>
        </w:rPr>
      </w:pPr>
      <w:r>
        <w:rPr>
          <w:lang w:val="en-GB"/>
        </w:rPr>
        <w:t>As the section above has argued, current disability inclusion policy marker data – even if imperfect – are already a highly valuable resource for learning. But it is likely that the marker could add even more value if data quality was tightened.</w:t>
      </w:r>
    </w:p>
    <w:p w14:paraId="182717F2" w14:textId="70A0D03A" w:rsidR="008E1DEF" w:rsidRDefault="00000000">
      <w:pPr>
        <w:rPr>
          <w:lang w:val="en-GB"/>
        </w:rPr>
      </w:pPr>
      <w:r>
        <w:rPr>
          <w:lang w:val="en-GB"/>
        </w:rPr>
        <w:t>Marker data are self-reported by OECD-DAC members</w:t>
      </w:r>
      <w:r>
        <w:rPr>
          <w:lang w:val="en-GB"/>
        </w:rPr>
        <w:t xml:space="preserve"> (based sometimes on scores reported in the first instance by their implementing partners)</w:t>
      </w:r>
      <w:r>
        <w:rPr>
          <w:lang w:val="en-GB"/>
        </w:rPr>
        <w:t>, and there is a risk that some members will interpret the OECD-DAC guidance more generously than others. Research on the OECD-DAC’s gender equality policy marker, which follows a similar approach to the disability inclusion policy marker, has found considerable risks of overly generous reporting.</w:t>
      </w:r>
      <w:r>
        <w:rPr>
          <w:rStyle w:val="Fotnotereferanse"/>
          <w:lang w:val="en-GB"/>
        </w:rPr>
        <w:footnoteReference w:id="47"/>
      </w:r>
      <w:r>
        <w:rPr>
          <w:lang w:val="en-GB"/>
        </w:rPr>
        <w:t xml:space="preserve"> Since the disability inclusion policy marker is much newer and less familiar than the gender equality policy marker, its risks are likely to be even greater. </w:t>
      </w:r>
    </w:p>
    <w:p w14:paraId="2ECE4D39" w14:textId="4F4BF964" w:rsidR="008E1DEF" w:rsidRDefault="00000000">
      <w:pPr>
        <w:rPr>
          <w:lang w:val="en-GB"/>
        </w:rPr>
      </w:pPr>
      <w:r>
        <w:rPr>
          <w:lang w:val="en-GB"/>
        </w:rPr>
        <w:t xml:space="preserve">One clue of the potential need for greater quality assurance over disability inclusion policy marker data comes from comparing quantitative marker results with </w:t>
      </w:r>
      <w:r>
        <w:rPr>
          <w:b/>
          <w:bCs/>
          <w:lang w:val="en-GB"/>
        </w:rPr>
        <w:t>qualitative data</w:t>
      </w:r>
      <w:r>
        <w:rPr>
          <w:lang w:val="en-GB"/>
        </w:rPr>
        <w:t xml:space="preserve"> on the steps that OECD-DAC members are taking to promote the inclusion of persons with disabilities in their projects. For example, Figure 3 takes quantitative marker results for a sample of 10 OECD-DAC members in 2020, and maps these to qualitative data from research by the European Disability Forum and by CBM Switzerland, which assessed these 10 OECD-DAC members’ policies and processes for disability inclusion using a standardised set of criteria. The horizontal axis ranks the 10 OECD-DAC members from 1 to 10 based on the qualitative data on their processes (with 10 being the processes assessed to be strongest, and 1 being the processes assessed to be weakest). The vertical axis ranks the 10 OECD-DAC members from 1 to 10 based on their quantitative marker scores (with 10 corresponding to the highest percentage of projects scored as being disability-inclusive, and 1 being the lowest). More details on the detailed methodology and judgements used to develop Figure 3 are given in Annex 3. </w:t>
      </w:r>
    </w:p>
    <w:p w14:paraId="3B7540ED" w14:textId="77777777" w:rsidR="008E1DEF" w:rsidRDefault="00000000">
      <w:pPr>
        <w:rPr>
          <w:lang w:val="en-GB"/>
        </w:rPr>
      </w:pPr>
      <w:r>
        <w:rPr>
          <w:lang w:val="en-GB"/>
        </w:rPr>
        <w:t xml:space="preserve">In general, as would be expected, the OECD-DAC members with more developed processes to promote the inclusion of persons with disabilities also tend to report more projects as disability-inclusive using the marker. However, there is some nuance to this trend, and one </w:t>
      </w:r>
      <w:proofErr w:type="gramStart"/>
      <w:r>
        <w:rPr>
          <w:lang w:val="en-GB"/>
        </w:rPr>
        <w:t>particular outlier</w:t>
      </w:r>
      <w:proofErr w:type="gramEnd"/>
      <w:r>
        <w:rPr>
          <w:lang w:val="en-GB"/>
        </w:rPr>
        <w:t xml:space="preserve"> (marked in pink in Figure 3) that ranked among the worst on its processes, yet among the highest in terms of its reported marker results. Of course, this is only a crude test, and there could be many reasons for the apparent anomaly (for example, perhaps some committed individuals were championing the inclusion of persons with disabilities even in the absence of formal processes</w:t>
      </w:r>
      <w:proofErr w:type="gramStart"/>
      <w:r>
        <w:rPr>
          <w:lang w:val="en-GB"/>
        </w:rPr>
        <w:t>) :</w:t>
      </w:r>
      <w:proofErr w:type="gramEnd"/>
      <w:r>
        <w:rPr>
          <w:lang w:val="en-GB"/>
        </w:rPr>
        <w:t xml:space="preserve"> more in-depth investigation would be needed to unpack this further. But on the face of it, this kind of mismatch between processes and marker results suggests there may be some lack of comparability in the way that different OECD-DAC members interpret the disability inclusion policy marker.</w:t>
      </w:r>
    </w:p>
    <w:p w14:paraId="1C4886F0" w14:textId="77777777" w:rsidR="008E1DEF" w:rsidRDefault="00000000">
      <w:pPr>
        <w:rPr>
          <w:lang w:val="en-GB"/>
        </w:rPr>
      </w:pPr>
      <w:r>
        <w:rPr>
          <w:lang w:val="en-GB"/>
        </w:rPr>
        <w:br w:type="page"/>
      </w:r>
    </w:p>
    <w:p w14:paraId="6F11C1E0" w14:textId="4EDEDF3F" w:rsidR="008E1DEF" w:rsidRDefault="00000000">
      <w:pPr>
        <w:rPr>
          <w:b/>
          <w:bCs/>
          <w:lang w:val="en-GB"/>
        </w:rPr>
      </w:pPr>
      <w:r>
        <w:rPr>
          <w:b/>
          <w:bCs/>
          <w:lang w:val="en-GB"/>
        </w:rPr>
        <w:lastRenderedPageBreak/>
        <w:t xml:space="preserve">Figure </w:t>
      </w:r>
      <w:proofErr w:type="gramStart"/>
      <w:r>
        <w:rPr>
          <w:b/>
          <w:bCs/>
          <w:lang w:val="en-GB"/>
        </w:rPr>
        <w:t>3 :</w:t>
      </w:r>
      <w:proofErr w:type="gramEnd"/>
      <w:r>
        <w:rPr>
          <w:b/>
          <w:bCs/>
          <w:lang w:val="en-GB"/>
        </w:rPr>
        <w:t xml:space="preserve"> Data for 10 OECD-DAC members in 2020 raise questions as to whether higher OECD-DAC marker scores always reflect stronger underlying processes</w:t>
      </w:r>
    </w:p>
    <w:p w14:paraId="1747A30B" w14:textId="3B9256F4" w:rsidR="008E1DEF" w:rsidRDefault="00000000">
      <w:pPr>
        <w:rPr>
          <w:lang w:val="en-GB"/>
        </w:rPr>
      </w:pPr>
      <w:r>
        <w:rPr>
          <w:noProof/>
          <w:lang w:val="en-GB"/>
        </w:rPr>
        <w:drawing>
          <wp:inline distT="0" distB="0" distL="0" distR="0" wp14:anchorId="781E91D9" wp14:editId="60C38283">
            <wp:extent cx="5427844" cy="4953000"/>
            <wp:effectExtent l="0" t="0" r="1905" b="0"/>
            <wp:docPr id="2" name="Picture 2" descr="A scatter chart. The horizontal axis (1-10) ranks OECD-DAC members based on qualitative data on their processes for inclusion of persons with disabilities. The vertical axis (1-10) ranks OECD-DAC members based on the proportion of projects they reported as disability-inclusive, using the disability inclusion policy marker. Results for 10 members are plotted on the grid that these axes create. In general the results cluster into a diagonal line, i.e. lower scores for processes correspond to lower scores on the disability inclusion policy marker; and higher scores for processes correspond to higher scores on the disability inclusion policy marker. But there is one striking anomaly, circled with a pink highlighter on the chart: this OECD-DAC member was ranked 4 for their processes (the equal third-lowest score), but 8 for their marker results (the equal third-highest 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atter chart. The horizontal axis (1-10) ranks OECD-DAC members based on qualitative data on their processes for inclusion of persons with disabilities. The vertical axis (1-10) ranks OECD-DAC members based on the proportion of projects they reported as disability-inclusive, using the disability inclusion policy marker. Results for 10 members are plotted on the grid that these axes create. In general the results cluster into a diagonal line, i.e. lower scores for processes correspond to lower scores on the disability inclusion policy marker; and higher scores for processes correspond to higher scores on the disability inclusion policy marker. But there is one striking anomaly, circled with a pink highlighter on the chart: this OECD-DAC member was ranked 4 for their processes (the equal third-lowest score), but 8 for their marker results (the equal third-highest score)."/>
                    <pic:cNvPicPr/>
                  </pic:nvPicPr>
                  <pic:blipFill>
                    <a:blip r:embed="rId16">
                      <a:extLst>
                        <a:ext uri="{28A0092B-C50C-407E-A947-70E740481C1C}">
                          <a14:useLocalDpi xmlns:a14="http://schemas.microsoft.com/office/drawing/2010/main" val="0"/>
                        </a:ext>
                      </a:extLst>
                    </a:blip>
                    <a:stretch>
                      <a:fillRect/>
                    </a:stretch>
                  </pic:blipFill>
                  <pic:spPr>
                    <a:xfrm>
                      <a:off x="0" y="0"/>
                      <a:ext cx="5435161" cy="4959677"/>
                    </a:xfrm>
                    <a:prstGeom prst="rect">
                      <a:avLst/>
                    </a:prstGeom>
                  </pic:spPr>
                </pic:pic>
              </a:graphicData>
            </a:graphic>
          </wp:inline>
        </w:drawing>
      </w:r>
    </w:p>
    <w:p w14:paraId="7AAFE2E4" w14:textId="77777777" w:rsidR="008E1DEF" w:rsidRDefault="008E1DEF">
      <w:pPr>
        <w:rPr>
          <w:lang w:val="en-GB"/>
        </w:rPr>
      </w:pPr>
    </w:p>
    <w:p w14:paraId="3246896E" w14:textId="5C7DEAF3" w:rsidR="008E1DEF" w:rsidRDefault="00000000">
      <w:pPr>
        <w:rPr>
          <w:sz w:val="20"/>
          <w:szCs w:val="20"/>
          <w:lang w:val="en-GB"/>
        </w:rPr>
      </w:pPr>
      <w:r>
        <w:rPr>
          <w:sz w:val="20"/>
          <w:szCs w:val="20"/>
          <w:lang w:val="en-GB"/>
        </w:rPr>
        <w:t xml:space="preserve">Source of quantitative data: author’s analysis of the number of projects reported as disability-inclusive according to the disability inclusion policy marker, based on 2020 allocable ODA commitments data from the OECD-DAC Creditor Reporting System database (downloaded in January </w:t>
      </w:r>
      <w:proofErr w:type="gramStart"/>
      <w:r>
        <w:rPr>
          <w:sz w:val="20"/>
          <w:szCs w:val="20"/>
          <w:lang w:val="en-GB"/>
        </w:rPr>
        <w:t>2023 ;</w:t>
      </w:r>
      <w:proofErr w:type="gramEnd"/>
      <w:r>
        <w:rPr>
          <w:sz w:val="20"/>
          <w:szCs w:val="20"/>
          <w:lang w:val="en-GB"/>
        </w:rPr>
        <w:t xml:space="preserve"> negative commitments excluded from the analysis). Source of qualitative data : author’s analysis of research published through : (</w:t>
      </w:r>
      <w:proofErr w:type="spellStart"/>
      <w:r>
        <w:rPr>
          <w:sz w:val="20"/>
          <w:szCs w:val="20"/>
          <w:lang w:val="en-GB"/>
        </w:rPr>
        <w:t>i</w:t>
      </w:r>
      <w:proofErr w:type="spellEnd"/>
      <w:r>
        <w:rPr>
          <w:sz w:val="20"/>
          <w:szCs w:val="20"/>
          <w:lang w:val="en-GB"/>
        </w:rPr>
        <w:t>) the European Disability Forum’s project, ‘</w:t>
      </w:r>
      <w:hyperlink r:id="rId17" w:history="1">
        <w:r>
          <w:rPr>
            <w:rStyle w:val="Hyperkobling"/>
            <w:sz w:val="20"/>
            <w:szCs w:val="20"/>
            <w:lang w:val="en-GB"/>
          </w:rPr>
          <w:t>Mapping disability inclusiveness of European member states’ development and humanitarian aid</w:t>
        </w:r>
      </w:hyperlink>
      <w:r>
        <w:rPr>
          <w:sz w:val="20"/>
          <w:szCs w:val="20"/>
          <w:lang w:val="en-GB"/>
        </w:rPr>
        <w:t xml:space="preserve">’ ; and (ii) CBM Switzerland’s </w:t>
      </w:r>
      <w:hyperlink r:id="rId18" w:history="1">
        <w:r>
          <w:rPr>
            <w:rStyle w:val="Hyperkobling"/>
            <w:sz w:val="20"/>
            <w:szCs w:val="20"/>
            <w:lang w:val="en-GB"/>
          </w:rPr>
          <w:t>Fact sheet on the disability inclusiveness of Swiss development and humanitarian aid</w:t>
        </w:r>
      </w:hyperlink>
      <w:r>
        <w:rPr>
          <w:sz w:val="20"/>
          <w:szCs w:val="20"/>
          <w:lang w:val="en-GB"/>
        </w:rPr>
        <w:t>. Further information on methodology and judgements is included in Annex 3.</w:t>
      </w:r>
    </w:p>
    <w:p w14:paraId="25DB8449" w14:textId="61122E93" w:rsidR="008E1DEF" w:rsidRDefault="00000000">
      <w:pPr>
        <w:rPr>
          <w:lang w:val="en-GB"/>
        </w:rPr>
      </w:pPr>
      <w:r>
        <w:rPr>
          <w:lang w:val="en-GB"/>
        </w:rPr>
        <w:t xml:space="preserve">For more concrete evidence on the extent to which over- or under-reporting might be taking place, project-level analysis is needed. The most extensive published data quality review to-date was undertaken by Larsen and Nilsson in their mapping report for </w:t>
      </w:r>
      <w:proofErr w:type="spellStart"/>
      <w:r>
        <w:rPr>
          <w:lang w:val="en-GB"/>
        </w:rPr>
        <w:t>Norad</w:t>
      </w:r>
      <w:proofErr w:type="spellEnd"/>
      <w:r>
        <w:rPr>
          <w:lang w:val="en-GB"/>
        </w:rPr>
        <w:t xml:space="preserve">. Their methods included word-searches on </w:t>
      </w:r>
      <w:proofErr w:type="spellStart"/>
      <w:r>
        <w:rPr>
          <w:lang w:val="en-GB"/>
        </w:rPr>
        <w:t>Norad’s</w:t>
      </w:r>
      <w:proofErr w:type="spellEnd"/>
      <w:r>
        <w:rPr>
          <w:lang w:val="en-GB"/>
        </w:rPr>
        <w:t xml:space="preserve"> project database; review of detailed project documents; and discussions with the staff who had allocated scores to </w:t>
      </w:r>
      <w:proofErr w:type="gramStart"/>
      <w:r>
        <w:rPr>
          <w:lang w:val="en-GB"/>
        </w:rPr>
        <w:t>particular projects</w:t>
      </w:r>
      <w:proofErr w:type="gramEnd"/>
      <w:r>
        <w:rPr>
          <w:lang w:val="en-GB"/>
        </w:rPr>
        <w:t xml:space="preserve">. Larsen and Nilsson found for example that there were challenges in arriving at a consistent understanding of what constitutes a ‘significant </w:t>
      </w:r>
      <w:r>
        <w:rPr>
          <w:lang w:val="en-GB"/>
        </w:rPr>
        <w:lastRenderedPageBreak/>
        <w:t>objective’, particularly when different implementing partners are involved, and their review resulted in a substantial number of changes to projects’ original marker scores.</w:t>
      </w:r>
      <w:r>
        <w:rPr>
          <w:rStyle w:val="Fotnotereferanse"/>
          <w:lang w:val="en-GB"/>
        </w:rPr>
        <w:footnoteReference w:id="48"/>
      </w:r>
      <w:r>
        <w:rPr>
          <w:lang w:val="en-GB"/>
        </w:rPr>
        <w:t xml:space="preserve"> </w:t>
      </w:r>
    </w:p>
    <w:p w14:paraId="57130FC9" w14:textId="1A12D873" w:rsidR="008E1DEF" w:rsidRDefault="00000000">
      <w:pPr>
        <w:rPr>
          <w:lang w:val="en-GB"/>
        </w:rPr>
      </w:pPr>
      <w:r>
        <w:rPr>
          <w:lang w:val="en-GB"/>
        </w:rPr>
        <w:t xml:space="preserve">Organisations of persons with disabilities have also been exploring how far it is possible for external stakeholders to assess the accuracy of individual projects’ disability inclusion policy marker scores </w:t>
      </w:r>
      <w:proofErr w:type="gramStart"/>
      <w:r>
        <w:rPr>
          <w:lang w:val="en-GB"/>
        </w:rPr>
        <w:t>on the basis of</w:t>
      </w:r>
      <w:proofErr w:type="gramEnd"/>
      <w:r>
        <w:rPr>
          <w:lang w:val="en-GB"/>
        </w:rPr>
        <w:t xml:space="preserve"> publicly available documents. However, gaps in publicly available information make it challenging to form such an assessment to some projects.</w:t>
      </w:r>
      <w:r>
        <w:rPr>
          <w:rStyle w:val="Fotnotereferanse"/>
          <w:lang w:val="en-GB"/>
        </w:rPr>
        <w:footnoteReference w:id="49"/>
      </w:r>
      <w:r>
        <w:rPr>
          <w:lang w:val="en-GB"/>
        </w:rPr>
        <w:t xml:space="preserve"> Making sure that key project documentation is systematically available in locations such as the International Aid Transparency Initiative site is not only a transparency imperative in its own right : it has a key role to play in driving up the quality of disability inclusion policy marker data, since it allows independent external stakeholders to make informed recommendations on how data quality can be improved.</w:t>
      </w:r>
    </w:p>
    <w:p w14:paraId="11516F29" w14:textId="6D700A66" w:rsidR="008E1DEF" w:rsidRDefault="00000000">
      <w:pPr>
        <w:rPr>
          <w:lang w:val="en-GB"/>
        </w:rPr>
      </w:pPr>
      <w:r>
        <w:rPr>
          <w:lang w:val="en-GB"/>
        </w:rPr>
        <w:t>As well as making project documentation publicly available, OECD-DAC members – and the OECD-DAC secretariat – should also consider more direct steps that they can take to enhance the quality of disability inclusion policy marker data. A wide body of experience in marker implementation already exists for them to draw on. Some of these good practices are already referenced in the OECD-DAC handbook on the disability inclusion policy marker,</w:t>
      </w:r>
      <w:r>
        <w:rPr>
          <w:rStyle w:val="Fotnotereferanse"/>
          <w:lang w:val="en-GB"/>
        </w:rPr>
        <w:footnoteReference w:id="50"/>
      </w:r>
      <w:r>
        <w:rPr>
          <w:lang w:val="en-GB"/>
        </w:rPr>
        <w:t xml:space="preserve"> but there would be scope to implement these good practices more comprehensively. There would also be scope to draw more extensively on the body of good practices developed by organisations outside the OECD-DAC (such as the Ford Foundation) ;</w:t>
      </w:r>
      <w:r>
        <w:rPr>
          <w:rStyle w:val="Fotnotereferanse"/>
          <w:lang w:val="en-GB"/>
        </w:rPr>
        <w:footnoteReference w:id="51"/>
      </w:r>
      <w:r>
        <w:rPr>
          <w:lang w:val="en-GB"/>
        </w:rPr>
        <w:t xml:space="preserve"> and by organisations that have worked on ensuring or scrutinising the quality of gender policy marker data – for example, the United Nations System Chief Executives Board for Coordination ;</w:t>
      </w:r>
      <w:r>
        <w:rPr>
          <w:rStyle w:val="Fotnotereferanse"/>
          <w:lang w:val="en-GB"/>
        </w:rPr>
        <w:footnoteReference w:id="52"/>
      </w:r>
      <w:r>
        <w:rPr>
          <w:lang w:val="en-GB"/>
        </w:rPr>
        <w:t xml:space="preserve"> the Inter-Agency Standing Committee ;</w:t>
      </w:r>
      <w:r>
        <w:rPr>
          <w:rStyle w:val="Fotnotereferanse"/>
          <w:lang w:val="en-GB"/>
        </w:rPr>
        <w:footnoteReference w:id="53"/>
      </w:r>
      <w:r>
        <w:rPr>
          <w:lang w:val="en-GB"/>
        </w:rPr>
        <w:t xml:space="preserve"> and Oxfam.</w:t>
      </w:r>
      <w:r>
        <w:rPr>
          <w:rStyle w:val="Fotnotereferanse"/>
          <w:lang w:val="en-GB"/>
        </w:rPr>
        <w:footnoteReference w:id="54"/>
      </w:r>
      <w:r>
        <w:rPr>
          <w:lang w:val="en-GB"/>
        </w:rPr>
        <w:t xml:space="preserve"> OECD-DAC members and secretariat staff could also consider making more extensive use of quick comparisons between qualitative and quantitative data, like the one illustrated in figure 3 above, as a way to identify potential focal areas for quality assurance.</w:t>
      </w:r>
    </w:p>
    <w:tbl>
      <w:tblPr>
        <w:tblStyle w:val="Tabellrutenett"/>
        <w:tblW w:w="0" w:type="auto"/>
        <w:tblLook w:val="04A0" w:firstRow="1" w:lastRow="0" w:firstColumn="1" w:lastColumn="0" w:noHBand="0" w:noVBand="1"/>
      </w:tblPr>
      <w:tblGrid>
        <w:gridCol w:w="9016"/>
      </w:tblGrid>
      <w:tr w:rsidR="008E1DEF" w14:paraId="335AC56A" w14:textId="77777777">
        <w:tc>
          <w:tcPr>
            <w:tcW w:w="9016" w:type="dxa"/>
          </w:tcPr>
          <w:p w14:paraId="7C2222E6" w14:textId="77777777" w:rsidR="008E1DEF" w:rsidRDefault="00000000">
            <w:pPr>
              <w:rPr>
                <w:b/>
                <w:bCs/>
                <w:lang w:val="en-GB"/>
              </w:rPr>
            </w:pPr>
            <w:r>
              <w:rPr>
                <w:b/>
                <w:bCs/>
                <w:lang w:val="en-GB"/>
              </w:rPr>
              <w:t>Suggested questions for discussion on opportunity 3</w:t>
            </w:r>
          </w:p>
          <w:p w14:paraId="7AF6B8D9" w14:textId="77777777" w:rsidR="008E1DEF" w:rsidRDefault="00000000">
            <w:pPr>
              <w:pStyle w:val="Listeavsnitt"/>
              <w:numPr>
                <w:ilvl w:val="0"/>
                <w:numId w:val="12"/>
              </w:numPr>
              <w:rPr>
                <w:lang w:val="en-GB"/>
              </w:rPr>
            </w:pPr>
            <w:r>
              <w:rPr>
                <w:lang w:val="en-GB"/>
              </w:rPr>
              <w:t>What actions should OECD-DAC members, and the OECD-DAC secretariat, prioritise to enhance the quality of the data that they report using the disability inclusion policy marker? How can the risk of over-reporting best be mitigated?</w:t>
            </w:r>
            <w:r>
              <w:rPr>
                <w:lang w:val="en-GB"/>
              </w:rPr>
              <w:t xml:space="preserve"> </w:t>
            </w:r>
          </w:p>
          <w:p w14:paraId="44A1DBCC" w14:textId="75404AB8" w:rsidR="008E1DEF" w:rsidRDefault="00000000">
            <w:pPr>
              <w:pStyle w:val="Listeavsnitt"/>
              <w:numPr>
                <w:ilvl w:val="0"/>
                <w:numId w:val="12"/>
              </w:numPr>
              <w:rPr>
                <w:lang w:val="en-GB"/>
              </w:rPr>
            </w:pPr>
            <w:r>
              <w:rPr>
                <w:lang w:val="en-GB"/>
              </w:rPr>
              <w:t>If marker scores are reported by implementing partners in the first instance, what steps can OECD-DAC members take to get assurance that these scores are accurate before data are shared with the OECD-DAC?</w:t>
            </w:r>
          </w:p>
          <w:p w14:paraId="1079FFE6" w14:textId="77777777" w:rsidR="008E1DEF" w:rsidRDefault="00000000">
            <w:pPr>
              <w:pStyle w:val="Listeavsnitt"/>
              <w:numPr>
                <w:ilvl w:val="0"/>
                <w:numId w:val="12"/>
              </w:numPr>
              <w:rPr>
                <w:lang w:val="en-GB"/>
              </w:rPr>
            </w:pPr>
            <w:r>
              <w:rPr>
                <w:lang w:val="en-GB"/>
              </w:rPr>
              <w:lastRenderedPageBreak/>
              <w:t xml:space="preserve">How can they ensure that organisations of persons with disabilities are closely consulted and actively involved in work to enhance data </w:t>
            </w:r>
            <w:proofErr w:type="gramStart"/>
            <w:r>
              <w:rPr>
                <w:lang w:val="en-GB"/>
              </w:rPr>
              <w:t>quality ?</w:t>
            </w:r>
            <w:proofErr w:type="gramEnd"/>
          </w:p>
        </w:tc>
      </w:tr>
    </w:tbl>
    <w:p w14:paraId="3C544973" w14:textId="77777777" w:rsidR="008E1DEF" w:rsidRDefault="008E1DEF">
      <w:pPr>
        <w:rPr>
          <w:lang w:val="en-GB"/>
        </w:rPr>
      </w:pPr>
    </w:p>
    <w:p w14:paraId="0892A7BC" w14:textId="275D61A1" w:rsidR="008E1DEF" w:rsidRDefault="00000000">
      <w:pPr>
        <w:pStyle w:val="Overskrift3"/>
        <w:rPr>
          <w:b/>
          <w:bCs/>
          <w:lang w:val="en-GB"/>
        </w:rPr>
      </w:pPr>
      <w:bookmarkStart w:id="11" w:name="_Toc129039828"/>
      <w:r>
        <w:rPr>
          <w:b/>
          <w:bCs/>
          <w:lang w:val="en-GB"/>
        </w:rPr>
        <w:t>Opportunity 4: Fine-tune the criteria for applying the disability inclusion policy marker</w:t>
      </w:r>
      <w:r>
        <w:rPr>
          <w:rStyle w:val="Fotnotereferanse"/>
          <w:b/>
          <w:bCs/>
          <w:lang w:val="en-GB"/>
        </w:rPr>
        <w:footnoteReference w:id="55"/>
      </w:r>
      <w:bookmarkEnd w:id="11"/>
    </w:p>
    <w:p w14:paraId="47F4665C" w14:textId="5A318BC8" w:rsidR="008E1DEF" w:rsidRDefault="00000000">
      <w:pPr>
        <w:pStyle w:val="Overskrift4"/>
        <w:rPr>
          <w:lang w:val="en-GB"/>
        </w:rPr>
      </w:pPr>
      <w:r>
        <w:rPr>
          <w:lang w:val="en-GB"/>
        </w:rPr>
        <w:t>Call to action on the disability inclusion policy marker from the International Disability Alliance, the European Disability Forum, the International Disability and Development Consortium and the Global Action on Disability Network</w:t>
      </w:r>
    </w:p>
    <w:p w14:paraId="44324882" w14:textId="36B642C2" w:rsidR="008E1DEF" w:rsidRDefault="00000000">
      <w:pPr>
        <w:rPr>
          <w:lang w:val="en-GB"/>
        </w:rPr>
      </w:pPr>
      <w:r>
        <w:rPr>
          <w:lang w:val="en-GB"/>
        </w:rPr>
        <w:t>In 2019, shortly after the OECD-DAC’s approval of the disability inclusion policy marker, a call to action was issued by two major international organisations of persons with disabilities, the International Disability Alliance (IDA) and the European Disability Forum (</w:t>
      </w:r>
      <w:proofErr w:type="spellStart"/>
      <w:r>
        <w:rPr>
          <w:lang w:val="en-GB"/>
        </w:rPr>
        <w:t>EDF</w:t>
      </w:r>
      <w:proofErr w:type="spellEnd"/>
      <w:r>
        <w:rPr>
          <w:lang w:val="en-GB"/>
        </w:rPr>
        <w:t>), together with their allies the International Disability and Development Consortium (</w:t>
      </w:r>
      <w:proofErr w:type="spellStart"/>
      <w:r>
        <w:rPr>
          <w:lang w:val="en-GB"/>
        </w:rPr>
        <w:t>IDDC</w:t>
      </w:r>
      <w:proofErr w:type="spellEnd"/>
      <w:r>
        <w:rPr>
          <w:lang w:val="en-GB"/>
        </w:rPr>
        <w:t xml:space="preserve">) and the Global Action on Disability (GLAD) Network. So far as the author of the current report knows, this call to action is the most up-to-date position on the disability inclusion policy marker to be issued by IDA and </w:t>
      </w:r>
      <w:proofErr w:type="spellStart"/>
      <w:r>
        <w:rPr>
          <w:lang w:val="en-GB"/>
        </w:rPr>
        <w:t>EDF</w:t>
      </w:r>
      <w:proofErr w:type="spellEnd"/>
      <w:r>
        <w:rPr>
          <w:lang w:val="en-GB"/>
        </w:rPr>
        <w:t xml:space="preserve">– although reference can also be made to </w:t>
      </w:r>
      <w:proofErr w:type="spellStart"/>
      <w:r>
        <w:rPr>
          <w:lang w:val="en-GB"/>
        </w:rPr>
        <w:t>IDDC</w:t>
      </w:r>
      <w:proofErr w:type="spellEnd"/>
      <w:r>
        <w:rPr>
          <w:lang w:val="en-GB"/>
        </w:rPr>
        <w:t xml:space="preserve"> and IDA’s earlier submission on the proposals for the marker,</w:t>
      </w:r>
      <w:r>
        <w:rPr>
          <w:rStyle w:val="Fotnotereferanse"/>
          <w:lang w:val="en-GB"/>
        </w:rPr>
        <w:footnoteReference w:id="56"/>
      </w:r>
      <w:r>
        <w:rPr>
          <w:lang w:val="en-GB"/>
        </w:rPr>
        <w:t xml:space="preserve"> to </w:t>
      </w:r>
      <w:proofErr w:type="spellStart"/>
      <w:r>
        <w:rPr>
          <w:lang w:val="en-GB"/>
        </w:rPr>
        <w:t>EDF’s</w:t>
      </w:r>
      <w:proofErr w:type="spellEnd"/>
      <w:r>
        <w:rPr>
          <w:lang w:val="en-GB"/>
        </w:rPr>
        <w:t xml:space="preserve"> latest annual report on the European Commission’s use of the marker,</w:t>
      </w:r>
      <w:r>
        <w:rPr>
          <w:rStyle w:val="Fotnotereferanse"/>
          <w:lang w:val="en-GB"/>
        </w:rPr>
        <w:footnoteReference w:id="57"/>
      </w:r>
      <w:r>
        <w:rPr>
          <w:lang w:val="en-GB"/>
        </w:rPr>
        <w:t xml:space="preserve"> and to forthcoming research by national level organisations of persons with disabilities in a range of countries.</w:t>
      </w:r>
      <w:r>
        <w:rPr>
          <w:rStyle w:val="Fotnotereferanse"/>
          <w:lang w:val="en-GB"/>
        </w:rPr>
        <w:footnoteReference w:id="58"/>
      </w:r>
    </w:p>
    <w:p w14:paraId="7D397A6F" w14:textId="7AEFFB20" w:rsidR="008E1DEF" w:rsidRDefault="00000000">
      <w:pPr>
        <w:rPr>
          <w:lang w:val="en-GB"/>
        </w:rPr>
      </w:pPr>
      <w:r>
        <w:rPr>
          <w:lang w:val="en-GB"/>
        </w:rPr>
        <w:t xml:space="preserve">The call to action from IDA, </w:t>
      </w:r>
      <w:proofErr w:type="spellStart"/>
      <w:r>
        <w:rPr>
          <w:lang w:val="en-GB"/>
        </w:rPr>
        <w:t>EDF</w:t>
      </w:r>
      <w:proofErr w:type="spellEnd"/>
      <w:r>
        <w:rPr>
          <w:lang w:val="en-GB"/>
        </w:rPr>
        <w:t xml:space="preserve">, </w:t>
      </w:r>
      <w:proofErr w:type="spellStart"/>
      <w:r>
        <w:rPr>
          <w:lang w:val="en-GB"/>
        </w:rPr>
        <w:t>IDDC</w:t>
      </w:r>
      <w:proofErr w:type="spellEnd"/>
      <w:r>
        <w:rPr>
          <w:lang w:val="en-GB"/>
        </w:rPr>
        <w:t xml:space="preserve"> and GLAD strongly welcomed the adoption of the marker, and made a number of recommendations on how to maximise its effectiveness, including </w:t>
      </w:r>
      <w:proofErr w:type="gramStart"/>
      <w:r>
        <w:rPr>
          <w:lang w:val="en-GB"/>
        </w:rPr>
        <w:t>by :</w:t>
      </w:r>
      <w:proofErr w:type="gramEnd"/>
    </w:p>
    <w:p w14:paraId="211AFBCC" w14:textId="77777777" w:rsidR="008E1DEF" w:rsidRDefault="00000000">
      <w:pPr>
        <w:pStyle w:val="Sitat"/>
        <w:rPr>
          <w:lang w:val="en-GB"/>
        </w:rPr>
      </w:pPr>
      <w:r>
        <w:rPr>
          <w:lang w:val="en-GB"/>
        </w:rPr>
        <w:t>« Support[</w:t>
      </w:r>
      <w:proofErr w:type="spellStart"/>
      <w:r>
        <w:rPr>
          <w:lang w:val="en-GB"/>
        </w:rPr>
        <w:t>ing</w:t>
      </w:r>
      <w:proofErr w:type="spellEnd"/>
      <w:r>
        <w:rPr>
          <w:lang w:val="en-GB"/>
        </w:rPr>
        <w:t xml:space="preserve">] the development of a handbook to guide the implementation of the marker. The handbook should align with the </w:t>
      </w:r>
      <w:proofErr w:type="spellStart"/>
      <w:r>
        <w:rPr>
          <w:lang w:val="en-GB"/>
        </w:rPr>
        <w:t>CRPD</w:t>
      </w:r>
      <w:proofErr w:type="spellEnd"/>
      <w:r>
        <w:rPr>
          <w:lang w:val="en-GB"/>
        </w:rPr>
        <w:t>, promote the meaningful involvement of persons with disabilities and their representative organisations, and include an expectation that all interventions to assess whether they meet the criteria of ‘doing no harm’ ».</w:t>
      </w:r>
      <w:r>
        <w:rPr>
          <w:rStyle w:val="Fotnotereferanse"/>
          <w:lang w:val="en-GB"/>
        </w:rPr>
        <w:footnoteReference w:id="59"/>
      </w:r>
    </w:p>
    <w:p w14:paraId="233A842C" w14:textId="77777777" w:rsidR="008E1DEF" w:rsidRDefault="00000000">
      <w:pPr>
        <w:rPr>
          <w:lang w:val="en-GB"/>
        </w:rPr>
      </w:pPr>
      <w:r>
        <w:rPr>
          <w:lang w:val="en-GB"/>
        </w:rPr>
        <w:t xml:space="preserve">In line with this recommendation, the OECD-DAC issued a handbook on the marker in </w:t>
      </w:r>
      <w:proofErr w:type="gramStart"/>
      <w:r>
        <w:rPr>
          <w:lang w:val="en-GB"/>
        </w:rPr>
        <w:t>2020 :</w:t>
      </w:r>
      <w:proofErr w:type="gramEnd"/>
      <w:r>
        <w:rPr>
          <w:rStyle w:val="Fotnotereferanse"/>
          <w:lang w:val="en-GB"/>
        </w:rPr>
        <w:footnoteReference w:id="60"/>
      </w:r>
      <w:r>
        <w:rPr>
          <w:lang w:val="en-GB"/>
        </w:rPr>
        <w:t xml:space="preserve"> this is an extremely useful resource, as the many references to the handbook throughout this report illustrate. However, it is arguable that the detailed guidance in the handbook could go further to address the call to action’s recommendations, particularly on doing no harm, and on involvement of persons with disabilities and their representative organisations. </w:t>
      </w:r>
    </w:p>
    <w:p w14:paraId="16ED5544" w14:textId="77777777" w:rsidR="008E1DEF" w:rsidRDefault="00000000">
      <w:pPr>
        <w:pStyle w:val="Overskrift5"/>
        <w:rPr>
          <w:b/>
          <w:bCs/>
          <w:lang w:val="en-GB"/>
        </w:rPr>
      </w:pPr>
      <w:r>
        <w:rPr>
          <w:b/>
          <w:bCs/>
          <w:lang w:val="en-GB"/>
        </w:rPr>
        <w:t>Do no harm</w:t>
      </w:r>
    </w:p>
    <w:p w14:paraId="29ECDDE8" w14:textId="28B795F7" w:rsidR="008E1DEF" w:rsidRDefault="00000000">
      <w:pPr>
        <w:rPr>
          <w:lang w:val="en-GB"/>
        </w:rPr>
      </w:pPr>
      <w:r>
        <w:rPr>
          <w:lang w:val="en-GB"/>
        </w:rPr>
        <w:t>While the OECD-DAC handbook on the disability inclusion policy marker lists « do not harm » as a « recommended practice » that is « necessary » for all programming,</w:t>
      </w:r>
      <w:r>
        <w:rPr>
          <w:rStyle w:val="Fotnotereferanse"/>
          <w:lang w:val="en-GB"/>
        </w:rPr>
        <w:footnoteReference w:id="61"/>
      </w:r>
      <w:r>
        <w:rPr>
          <w:lang w:val="en-GB"/>
        </w:rPr>
        <w:t xml:space="preserve"> it does </w:t>
      </w:r>
      <w:r>
        <w:rPr>
          <w:b/>
          <w:bCs/>
          <w:lang w:val="en-GB"/>
        </w:rPr>
        <w:t xml:space="preserve">not </w:t>
      </w:r>
      <w:r>
        <w:rPr>
          <w:lang w:val="en-GB"/>
        </w:rPr>
        <w:t xml:space="preserve">mention doing no </w:t>
      </w:r>
      <w:r>
        <w:rPr>
          <w:lang w:val="en-GB"/>
        </w:rPr>
        <w:lastRenderedPageBreak/>
        <w:t>harm an explicit requirement in the section of the guidance that deals with the marker itself, as opposed to good programming practices in general.</w:t>
      </w:r>
      <w:r>
        <w:rPr>
          <w:rStyle w:val="Fotnotereferanse"/>
          <w:lang w:val="en-GB"/>
        </w:rPr>
        <w:footnoteReference w:id="62"/>
      </w:r>
      <w:r>
        <w:rPr>
          <w:lang w:val="en-GB"/>
        </w:rPr>
        <w:t xml:space="preserve"> This is puzzling, since OECD-DAC handbook on the gender equality marker </w:t>
      </w:r>
      <w:r>
        <w:rPr>
          <w:b/>
          <w:bCs/>
          <w:lang w:val="en-GB"/>
        </w:rPr>
        <w:t xml:space="preserve">does </w:t>
      </w:r>
      <w:r>
        <w:rPr>
          <w:lang w:val="en-GB"/>
        </w:rPr>
        <w:t>include « do no harm » as a minimum threshold for all marker scores.</w:t>
      </w:r>
      <w:r>
        <w:rPr>
          <w:rStyle w:val="Fotnotereferanse"/>
          <w:lang w:val="en-GB"/>
        </w:rPr>
        <w:footnoteReference w:id="63"/>
      </w:r>
      <w:r>
        <w:rPr>
          <w:lang w:val="en-GB"/>
        </w:rPr>
        <w:t xml:space="preserve"> Table 1 compares in more detail the scoring guidance in the disability inclusion policy marker handbook with the scoring guidance in the gender equality marker handbook.</w:t>
      </w:r>
    </w:p>
    <w:p w14:paraId="7F09DCB4" w14:textId="77777777" w:rsidR="008E1DEF" w:rsidRDefault="00000000">
      <w:pPr>
        <w:rPr>
          <w:lang w:val="en-GB"/>
        </w:rPr>
      </w:pPr>
      <w:r>
        <w:rPr>
          <w:lang w:val="en-GB"/>
        </w:rPr>
        <w:br w:type="page"/>
      </w:r>
    </w:p>
    <w:p w14:paraId="3864D3E9" w14:textId="77777777" w:rsidR="008E1DEF" w:rsidRDefault="008E1DEF">
      <w:pPr>
        <w:rPr>
          <w:lang w:val="en-GB"/>
        </w:rPr>
        <w:sectPr w:rsidR="008E1DEF">
          <w:pgSz w:w="11906" w:h="16838"/>
          <w:pgMar w:top="1440" w:right="1440" w:bottom="1440" w:left="1440" w:header="709" w:footer="709" w:gutter="0"/>
          <w:cols w:space="708"/>
          <w:docGrid w:linePitch="360"/>
        </w:sectPr>
      </w:pPr>
    </w:p>
    <w:tbl>
      <w:tblPr>
        <w:tblStyle w:val="Tabellrutenett"/>
        <w:tblW w:w="0" w:type="auto"/>
        <w:tblLook w:val="04A0" w:firstRow="1" w:lastRow="0" w:firstColumn="1" w:lastColumn="0" w:noHBand="0" w:noVBand="1"/>
      </w:tblPr>
      <w:tblGrid>
        <w:gridCol w:w="890"/>
        <w:gridCol w:w="4492"/>
        <w:gridCol w:w="5089"/>
        <w:gridCol w:w="3477"/>
      </w:tblGrid>
      <w:tr w:rsidR="008E1DEF" w14:paraId="190B4C2D" w14:textId="77777777">
        <w:tc>
          <w:tcPr>
            <w:tcW w:w="890" w:type="dxa"/>
            <w:tcBorders>
              <w:top w:val="nil"/>
              <w:left w:val="nil"/>
              <w:bottom w:val="single" w:sz="4" w:space="0" w:color="auto"/>
              <w:right w:val="nil"/>
            </w:tcBorders>
          </w:tcPr>
          <w:p w14:paraId="0F22687D" w14:textId="77777777" w:rsidR="008E1DEF" w:rsidRDefault="00000000">
            <w:pPr>
              <w:rPr>
                <w:b/>
                <w:bCs/>
                <w:lang w:val="en-GB"/>
              </w:rPr>
            </w:pPr>
            <w:r>
              <w:rPr>
                <w:b/>
                <w:bCs/>
                <w:lang w:val="en-GB"/>
              </w:rPr>
              <w:lastRenderedPageBreak/>
              <w:t>Table 1</w:t>
            </w:r>
          </w:p>
        </w:tc>
        <w:tc>
          <w:tcPr>
            <w:tcW w:w="4492" w:type="dxa"/>
            <w:tcBorders>
              <w:top w:val="nil"/>
              <w:left w:val="nil"/>
              <w:bottom w:val="single" w:sz="4" w:space="0" w:color="auto"/>
              <w:right w:val="nil"/>
            </w:tcBorders>
          </w:tcPr>
          <w:p w14:paraId="360F4AE5" w14:textId="77777777" w:rsidR="008E1DEF" w:rsidRDefault="008E1DEF">
            <w:pPr>
              <w:rPr>
                <w:b/>
                <w:bCs/>
                <w:lang w:val="en-GB"/>
              </w:rPr>
            </w:pPr>
          </w:p>
        </w:tc>
        <w:tc>
          <w:tcPr>
            <w:tcW w:w="5089" w:type="dxa"/>
            <w:tcBorders>
              <w:top w:val="nil"/>
              <w:left w:val="nil"/>
              <w:bottom w:val="single" w:sz="4" w:space="0" w:color="auto"/>
              <w:right w:val="nil"/>
            </w:tcBorders>
          </w:tcPr>
          <w:p w14:paraId="03B8F19C" w14:textId="77777777" w:rsidR="008E1DEF" w:rsidRDefault="008E1DEF">
            <w:pPr>
              <w:rPr>
                <w:b/>
                <w:bCs/>
                <w:lang w:val="en-GB"/>
              </w:rPr>
            </w:pPr>
          </w:p>
        </w:tc>
        <w:tc>
          <w:tcPr>
            <w:tcW w:w="3477" w:type="dxa"/>
            <w:tcBorders>
              <w:top w:val="nil"/>
              <w:left w:val="nil"/>
              <w:bottom w:val="single" w:sz="4" w:space="0" w:color="auto"/>
              <w:right w:val="nil"/>
            </w:tcBorders>
          </w:tcPr>
          <w:p w14:paraId="6919ACE9" w14:textId="77777777" w:rsidR="008E1DEF" w:rsidRDefault="008E1DEF">
            <w:pPr>
              <w:rPr>
                <w:b/>
                <w:bCs/>
                <w:lang w:val="en-GB"/>
              </w:rPr>
            </w:pPr>
          </w:p>
        </w:tc>
      </w:tr>
      <w:tr w:rsidR="008E1DEF" w14:paraId="3EBA7D35" w14:textId="77777777">
        <w:tc>
          <w:tcPr>
            <w:tcW w:w="890" w:type="dxa"/>
            <w:tcBorders>
              <w:top w:val="single" w:sz="4" w:space="0" w:color="auto"/>
            </w:tcBorders>
          </w:tcPr>
          <w:p w14:paraId="6176128B" w14:textId="77777777" w:rsidR="008E1DEF" w:rsidRDefault="00000000">
            <w:pPr>
              <w:rPr>
                <w:b/>
                <w:bCs/>
                <w:lang w:val="en-GB"/>
              </w:rPr>
            </w:pPr>
            <w:r>
              <w:rPr>
                <w:b/>
                <w:bCs/>
                <w:lang w:val="en-GB"/>
              </w:rPr>
              <w:t>Marker score</w:t>
            </w:r>
          </w:p>
        </w:tc>
        <w:tc>
          <w:tcPr>
            <w:tcW w:w="4492" w:type="dxa"/>
            <w:tcBorders>
              <w:top w:val="single" w:sz="4" w:space="0" w:color="auto"/>
            </w:tcBorders>
          </w:tcPr>
          <w:p w14:paraId="09B2412E" w14:textId="77777777" w:rsidR="008E1DEF" w:rsidRDefault="00000000">
            <w:pPr>
              <w:rPr>
                <w:b/>
                <w:bCs/>
                <w:lang w:val="en-GB"/>
              </w:rPr>
            </w:pPr>
            <w:r>
              <w:rPr>
                <w:b/>
                <w:bCs/>
                <w:lang w:val="en-GB"/>
              </w:rPr>
              <w:t>Disability inclusion policy marker handbook</w:t>
            </w:r>
            <w:r>
              <w:rPr>
                <w:rStyle w:val="Fotnotereferanse"/>
                <w:b/>
                <w:bCs/>
                <w:lang w:val="en-GB"/>
              </w:rPr>
              <w:footnoteReference w:id="64"/>
            </w:r>
          </w:p>
        </w:tc>
        <w:tc>
          <w:tcPr>
            <w:tcW w:w="5089" w:type="dxa"/>
            <w:tcBorders>
              <w:top w:val="single" w:sz="4" w:space="0" w:color="auto"/>
            </w:tcBorders>
          </w:tcPr>
          <w:p w14:paraId="167B3DA8" w14:textId="77777777" w:rsidR="008E1DEF" w:rsidRDefault="00000000">
            <w:pPr>
              <w:rPr>
                <w:b/>
                <w:bCs/>
                <w:lang w:val="en-GB"/>
              </w:rPr>
            </w:pPr>
            <w:r>
              <w:rPr>
                <w:b/>
                <w:bCs/>
                <w:lang w:val="en-GB"/>
              </w:rPr>
              <w:t>Gender equality policy marker handbook</w:t>
            </w:r>
            <w:r>
              <w:rPr>
                <w:rStyle w:val="Fotnotereferanse"/>
                <w:b/>
                <w:bCs/>
                <w:lang w:val="en-GB"/>
              </w:rPr>
              <w:footnoteReference w:id="65"/>
            </w:r>
          </w:p>
        </w:tc>
        <w:tc>
          <w:tcPr>
            <w:tcW w:w="3477" w:type="dxa"/>
            <w:tcBorders>
              <w:top w:val="single" w:sz="4" w:space="0" w:color="auto"/>
            </w:tcBorders>
          </w:tcPr>
          <w:p w14:paraId="10F91580" w14:textId="77777777" w:rsidR="008E1DEF" w:rsidRDefault="00000000">
            <w:pPr>
              <w:rPr>
                <w:b/>
                <w:bCs/>
                <w:lang w:val="en-GB"/>
              </w:rPr>
            </w:pPr>
            <w:r>
              <w:rPr>
                <w:b/>
                <w:bCs/>
                <w:lang w:val="en-GB"/>
              </w:rPr>
              <w:t>Notes on some key differences</w:t>
            </w:r>
          </w:p>
        </w:tc>
      </w:tr>
      <w:tr w:rsidR="008E1DEF" w14:paraId="75517A5C" w14:textId="77777777">
        <w:tc>
          <w:tcPr>
            <w:tcW w:w="890" w:type="dxa"/>
          </w:tcPr>
          <w:p w14:paraId="13622C74" w14:textId="77777777" w:rsidR="008E1DEF" w:rsidRDefault="00000000">
            <w:pPr>
              <w:rPr>
                <w:lang w:val="en-GB"/>
              </w:rPr>
            </w:pPr>
            <w:r>
              <w:rPr>
                <w:lang w:val="en-GB"/>
              </w:rPr>
              <w:t>0</w:t>
            </w:r>
          </w:p>
        </w:tc>
        <w:tc>
          <w:tcPr>
            <w:tcW w:w="4492" w:type="dxa"/>
          </w:tcPr>
          <w:p w14:paraId="38501B95" w14:textId="77777777" w:rsidR="008E1DEF" w:rsidRDefault="00000000">
            <w:pPr>
              <w:rPr>
                <w:lang w:val="en-GB"/>
              </w:rPr>
            </w:pPr>
            <w:r>
              <w:rPr>
                <w:lang w:val="en-GB"/>
              </w:rPr>
              <w:t xml:space="preserve">Page </w:t>
            </w:r>
            <w:proofErr w:type="gramStart"/>
            <w:r>
              <w:rPr>
                <w:lang w:val="en-GB"/>
              </w:rPr>
              <w:t>13 :</w:t>
            </w:r>
            <w:proofErr w:type="gramEnd"/>
            <w:r>
              <w:rPr>
                <w:lang w:val="en-GB"/>
              </w:rPr>
              <w:t xml:space="preserve"> the activity is screened but it does not target disability. As regards activities that have not been screened, the marker field should be left blank (NULL) and not scored 0 by default.</w:t>
            </w:r>
          </w:p>
          <w:p w14:paraId="743EFADE" w14:textId="77777777" w:rsidR="008E1DEF" w:rsidRDefault="008E1DEF">
            <w:pPr>
              <w:rPr>
                <w:lang w:val="en-GB"/>
              </w:rPr>
            </w:pPr>
          </w:p>
          <w:p w14:paraId="2F2B0B63" w14:textId="12DE2ACB" w:rsidR="008E1DEF" w:rsidRDefault="00000000">
            <w:pPr>
              <w:rPr>
                <w:lang w:val="en-GB"/>
              </w:rPr>
            </w:pPr>
            <w:r>
              <w:rPr>
                <w:lang w:val="en-GB"/>
              </w:rPr>
              <w:t xml:space="preserve">Page </w:t>
            </w:r>
            <w:proofErr w:type="gramStart"/>
            <w:r>
              <w:rPr>
                <w:lang w:val="en-GB"/>
              </w:rPr>
              <w:t>14 :</w:t>
            </w:r>
            <w:proofErr w:type="gramEnd"/>
            <w:r>
              <w:rPr>
                <w:lang w:val="en-GB"/>
              </w:rPr>
              <w:t xml:space="preserve"> the project has been screened ; but it does not support activities that contribute to respect, protection and fulfilment of the rights and inclusion of persons with disabilities ; or these activities are not explicitly promoted in the activity documentation through specific measures, as stated in the eligibility criteria of the disability inclusion policy marker.</w:t>
            </w:r>
            <w:r>
              <w:rPr>
                <w:rStyle w:val="Fotnotereferanse"/>
                <w:lang w:val="en-GB"/>
              </w:rPr>
              <w:footnoteReference w:id="66"/>
            </w:r>
          </w:p>
          <w:p w14:paraId="2160AECE" w14:textId="77777777" w:rsidR="008E1DEF" w:rsidRDefault="008E1DEF">
            <w:pPr>
              <w:rPr>
                <w:lang w:val="en-GB"/>
              </w:rPr>
            </w:pPr>
          </w:p>
          <w:p w14:paraId="151EE683" w14:textId="25FCEB77" w:rsidR="008E1DEF" w:rsidRDefault="00000000">
            <w:pPr>
              <w:rPr>
                <w:lang w:val="en-GB"/>
              </w:rPr>
            </w:pPr>
            <w:proofErr w:type="gramStart"/>
            <w:r>
              <w:rPr>
                <w:lang w:val="en-GB"/>
              </w:rPr>
              <w:t>OR :</w:t>
            </w:r>
            <w:proofErr w:type="gramEnd"/>
            <w:r>
              <w:rPr>
                <w:lang w:val="en-GB"/>
              </w:rPr>
              <w:t xml:space="preserve"> the project has been screened ; and it supports activities that contribute to respect, protection and fulfilment of the rights and inclusion of persons with disabilities ; and these activities are explicitly promoted in the activity documentation through specific measures, as stated in the eligibility criteria of the disability inclusion policy marker. BUT disability is only a marginal component of the project.</w:t>
            </w:r>
          </w:p>
        </w:tc>
        <w:tc>
          <w:tcPr>
            <w:tcW w:w="5089" w:type="dxa"/>
          </w:tcPr>
          <w:p w14:paraId="7FB8BB65" w14:textId="529DB8C3" w:rsidR="008E1DEF" w:rsidRDefault="00000000">
            <w:pPr>
              <w:rPr>
                <w:lang w:val="en-GB"/>
              </w:rPr>
            </w:pPr>
            <w:r>
              <w:rPr>
                <w:lang w:val="en-GB"/>
              </w:rPr>
              <w:t xml:space="preserve">Page </w:t>
            </w:r>
            <w:proofErr w:type="gramStart"/>
            <w:r>
              <w:rPr>
                <w:lang w:val="en-GB"/>
              </w:rPr>
              <w:t>10 :</w:t>
            </w:r>
            <w:proofErr w:type="gramEnd"/>
            <w:r>
              <w:rPr>
                <w:lang w:val="en-GB"/>
              </w:rPr>
              <w:t xml:space="preserve"> The project/programme has been screened against the marker but has not been found to target gender equality. This score cannot be used as a default value. Projects/programmes that have not been screened should be left unmarked – </w:t>
            </w:r>
            <w:proofErr w:type="gramStart"/>
            <w:r>
              <w:rPr>
                <w:lang w:val="en-GB"/>
              </w:rPr>
              <w:t>i.e.</w:t>
            </w:r>
            <w:proofErr w:type="gramEnd"/>
            <w:r>
              <w:rPr>
                <w:lang w:val="en-GB"/>
              </w:rPr>
              <w:t xml:space="preserve"> the field should be left empty. </w:t>
            </w:r>
            <w:r>
              <w:rPr>
                <w:lang w:val="en-GB"/>
              </w:rPr>
              <w:br/>
            </w:r>
          </w:p>
          <w:p w14:paraId="6C3237F0" w14:textId="63D1B925" w:rsidR="008E1DEF" w:rsidRDefault="00000000">
            <w:pPr>
              <w:rPr>
                <w:lang w:val="en-GB"/>
              </w:rPr>
            </w:pPr>
            <w:r>
              <w:rPr>
                <w:lang w:val="en-GB"/>
              </w:rPr>
              <w:t xml:space="preserve">This ensures that there is no confusion between activities that do not target gender equality (score 0) and activities for which the answer is not known (empty field). It is necessary that a gender analysis is conducted for all projects/ programmes. </w:t>
            </w:r>
          </w:p>
          <w:p w14:paraId="5D7DE29D" w14:textId="3326FBEB" w:rsidR="008E1DEF" w:rsidRDefault="00000000">
            <w:pPr>
              <w:rPr>
                <w:lang w:val="en-GB"/>
              </w:rPr>
            </w:pPr>
            <w:r>
              <w:rPr>
                <w:lang w:val="en-GB"/>
              </w:rPr>
              <w:t>Findings from this gender analysis should be used to ensure at minimum that the project/programme does no harm and does not reinforce gender inequalities.</w:t>
            </w:r>
          </w:p>
        </w:tc>
        <w:tc>
          <w:tcPr>
            <w:tcW w:w="3477" w:type="dxa"/>
          </w:tcPr>
          <w:p w14:paraId="416B95A0" w14:textId="77777777" w:rsidR="008E1DEF" w:rsidRDefault="00000000">
            <w:pPr>
              <w:rPr>
                <w:lang w:val="en-GB"/>
              </w:rPr>
            </w:pPr>
            <w:r>
              <w:rPr>
                <w:lang w:val="en-GB"/>
              </w:rPr>
              <w:t>Gender marker guidance includes minimum « do no harm » criterion.</w:t>
            </w:r>
          </w:p>
          <w:p w14:paraId="5757E6E0" w14:textId="77777777" w:rsidR="008E1DEF" w:rsidRDefault="008E1DEF">
            <w:pPr>
              <w:rPr>
                <w:lang w:val="en-GB"/>
              </w:rPr>
            </w:pPr>
          </w:p>
          <w:p w14:paraId="624111B7" w14:textId="77777777" w:rsidR="008E1DEF" w:rsidRDefault="00000000">
            <w:pPr>
              <w:rPr>
                <w:lang w:val="en-GB"/>
              </w:rPr>
            </w:pPr>
            <w:r>
              <w:rPr>
                <w:lang w:val="en-GB"/>
              </w:rPr>
              <w:t>Gender marker guidance requires a gender analysis for all activities.</w:t>
            </w:r>
            <w:r>
              <w:rPr>
                <w:rStyle w:val="Fotnotereferanse"/>
                <w:lang w:val="en-GB"/>
              </w:rPr>
              <w:footnoteReference w:id="67"/>
            </w:r>
          </w:p>
        </w:tc>
      </w:tr>
      <w:tr w:rsidR="008E1DEF" w14:paraId="33D97365" w14:textId="77777777">
        <w:tc>
          <w:tcPr>
            <w:tcW w:w="890" w:type="dxa"/>
          </w:tcPr>
          <w:p w14:paraId="51D0164E" w14:textId="77777777" w:rsidR="008E1DEF" w:rsidRDefault="00000000">
            <w:pPr>
              <w:rPr>
                <w:lang w:val="en-GB"/>
              </w:rPr>
            </w:pPr>
            <w:r>
              <w:rPr>
                <w:lang w:val="en-GB"/>
              </w:rPr>
              <w:lastRenderedPageBreak/>
              <w:t>1</w:t>
            </w:r>
          </w:p>
        </w:tc>
        <w:tc>
          <w:tcPr>
            <w:tcW w:w="4492" w:type="dxa"/>
          </w:tcPr>
          <w:p w14:paraId="36F483FB" w14:textId="77777777" w:rsidR="008E1DEF" w:rsidRDefault="00000000">
            <w:pPr>
              <w:rPr>
                <w:lang w:val="en-GB"/>
              </w:rPr>
            </w:pPr>
            <w:r>
              <w:rPr>
                <w:lang w:val="en-GB"/>
              </w:rPr>
              <w:t xml:space="preserve">Page </w:t>
            </w:r>
            <w:proofErr w:type="gramStart"/>
            <w:r>
              <w:rPr>
                <w:lang w:val="en-GB"/>
              </w:rPr>
              <w:t>13 :</w:t>
            </w:r>
            <w:proofErr w:type="gramEnd"/>
            <w:r>
              <w:rPr>
                <w:lang w:val="en-GB"/>
              </w:rPr>
              <w:t xml:space="preserve"> Inclusion and empowerment of persons with disability is the significant objective</w:t>
            </w:r>
          </w:p>
          <w:p w14:paraId="5D77FF43" w14:textId="77777777" w:rsidR="008E1DEF" w:rsidRDefault="008E1DEF">
            <w:pPr>
              <w:rPr>
                <w:lang w:val="en-GB"/>
              </w:rPr>
            </w:pPr>
          </w:p>
          <w:p w14:paraId="5F888754" w14:textId="3E04EEB8" w:rsidR="008E1DEF" w:rsidRDefault="00000000">
            <w:pPr>
              <w:rPr>
                <w:lang w:val="en-GB"/>
              </w:rPr>
            </w:pPr>
            <w:r>
              <w:rPr>
                <w:lang w:val="en-GB"/>
              </w:rPr>
              <w:t xml:space="preserve">Page </w:t>
            </w:r>
            <w:proofErr w:type="gramStart"/>
            <w:r>
              <w:rPr>
                <w:lang w:val="en-GB"/>
              </w:rPr>
              <w:t>14 :</w:t>
            </w:r>
            <w:proofErr w:type="gramEnd"/>
            <w:r>
              <w:rPr>
                <w:lang w:val="en-GB"/>
              </w:rPr>
              <w:t xml:space="preserve"> the project supports activities that contribute to respect, protection and fulfilment of the rights and inclusion of persons with disabilities ; and these activities are explicitly promoted in the activity documentation through specific measures, as stated in the eligibility criteria of the disability inclusion policy marker. Disability inclusion is an important and deliberate objective of the project, albeit not the principal one. (The project would not have been undertaken </w:t>
            </w:r>
            <w:r>
              <w:rPr>
                <w:i/>
                <w:iCs/>
                <w:lang w:val="en-GB"/>
              </w:rPr>
              <w:t xml:space="preserve">in that way </w:t>
            </w:r>
            <w:r>
              <w:rPr>
                <w:lang w:val="en-GB"/>
              </w:rPr>
              <w:t>without the disability objective).</w:t>
            </w:r>
          </w:p>
        </w:tc>
        <w:tc>
          <w:tcPr>
            <w:tcW w:w="5089" w:type="dxa"/>
          </w:tcPr>
          <w:p w14:paraId="13BC8121" w14:textId="77777777" w:rsidR="008E1DEF" w:rsidRDefault="00000000">
            <w:pPr>
              <w:rPr>
                <w:lang w:val="en-GB"/>
              </w:rPr>
            </w:pPr>
            <w:r>
              <w:rPr>
                <w:lang w:val="en-GB"/>
              </w:rPr>
              <w:t xml:space="preserve">Page </w:t>
            </w:r>
            <w:proofErr w:type="gramStart"/>
            <w:r>
              <w:rPr>
                <w:lang w:val="en-GB"/>
              </w:rPr>
              <w:t>10 :</w:t>
            </w:r>
            <w:proofErr w:type="gramEnd"/>
            <w:r>
              <w:rPr>
                <w:lang w:val="en-GB"/>
              </w:rPr>
              <w:t xml:space="preserve"> Gender equality is an important and deliberate objective, but not the principal reason for undertaking the project/programme. The gender equality objective must be explicit in the project/programme documentation and cannot be implicit or assumed. The project/programme, in addition to other objectives, is designed to have a positive impact on advancing gender equality and/or the empowerment of women and girls, reducing gender discrimination or inequalities, or meeting gender-specific needs.</w:t>
            </w:r>
          </w:p>
          <w:p w14:paraId="41B279C6" w14:textId="77777777" w:rsidR="008E1DEF" w:rsidRDefault="008E1DEF">
            <w:pPr>
              <w:rPr>
                <w:lang w:val="en-GB"/>
              </w:rPr>
            </w:pPr>
          </w:p>
          <w:p w14:paraId="76F66FE7" w14:textId="77777777" w:rsidR="008E1DEF" w:rsidRDefault="00000000">
            <w:pPr>
              <w:rPr>
                <w:lang w:val="en-GB"/>
              </w:rPr>
            </w:pPr>
            <w:r>
              <w:rPr>
                <w:lang w:val="en-GB"/>
              </w:rPr>
              <w:t>Minimum criteria (should be met in full</w:t>
            </w:r>
            <w:proofErr w:type="gramStart"/>
            <w:r>
              <w:rPr>
                <w:lang w:val="en-GB"/>
              </w:rPr>
              <w:t>) :</w:t>
            </w:r>
            <w:proofErr w:type="gramEnd"/>
          </w:p>
          <w:p w14:paraId="672FDBFD" w14:textId="77777777" w:rsidR="008E1DEF" w:rsidRDefault="00000000">
            <w:pPr>
              <w:rPr>
                <w:lang w:val="en-GB"/>
              </w:rPr>
            </w:pPr>
            <w:r>
              <w:rPr>
                <w:lang w:val="en-GB"/>
              </w:rPr>
              <w:t xml:space="preserve">- A gender analysis of the project/programme has been conducted. </w:t>
            </w:r>
          </w:p>
          <w:p w14:paraId="3217687B" w14:textId="77777777" w:rsidR="008E1DEF" w:rsidRDefault="00000000">
            <w:pPr>
              <w:rPr>
                <w:lang w:val="en-GB"/>
              </w:rPr>
            </w:pPr>
            <w:r>
              <w:rPr>
                <w:lang w:val="en-GB"/>
              </w:rPr>
              <w:t xml:space="preserve">- Findings from this gender analysis have informed the design of the project/programme and the intervention adopts a ‘do no harm’ approach. </w:t>
            </w:r>
          </w:p>
          <w:p w14:paraId="470FFBEB" w14:textId="77777777" w:rsidR="008E1DEF" w:rsidRDefault="00000000">
            <w:pPr>
              <w:rPr>
                <w:lang w:val="en-GB"/>
              </w:rPr>
            </w:pPr>
            <w:r>
              <w:rPr>
                <w:lang w:val="en-GB"/>
              </w:rPr>
              <w:t xml:space="preserve">- Presence of at least one explicit gender equality objective backed by at least one gender-specific indicator (or a firm commitment to do this if the results framework has not been elaborated at the time of marking the project). </w:t>
            </w:r>
          </w:p>
          <w:p w14:paraId="4B4039EA" w14:textId="77777777" w:rsidR="008E1DEF" w:rsidRDefault="00000000">
            <w:pPr>
              <w:rPr>
                <w:lang w:val="en-GB"/>
              </w:rPr>
            </w:pPr>
            <w:r>
              <w:rPr>
                <w:lang w:val="en-GB"/>
              </w:rPr>
              <w:t xml:space="preserve">- Data and indicators are disaggregated by sex where applicable. </w:t>
            </w:r>
          </w:p>
          <w:p w14:paraId="79FAB426" w14:textId="77777777" w:rsidR="008E1DEF" w:rsidRDefault="00000000">
            <w:pPr>
              <w:rPr>
                <w:lang w:val="en-GB"/>
              </w:rPr>
            </w:pPr>
            <w:r>
              <w:rPr>
                <w:lang w:val="en-GB"/>
              </w:rPr>
              <w:t>- Commitment to monitor and report on the gender equality results achieved by the project in the evaluation phase.</w:t>
            </w:r>
          </w:p>
        </w:tc>
        <w:tc>
          <w:tcPr>
            <w:tcW w:w="3477" w:type="dxa"/>
          </w:tcPr>
          <w:p w14:paraId="21DE1675" w14:textId="77777777" w:rsidR="008E1DEF" w:rsidRDefault="00000000">
            <w:pPr>
              <w:rPr>
                <w:lang w:val="en-GB"/>
              </w:rPr>
            </w:pPr>
            <w:r>
              <w:rPr>
                <w:lang w:val="en-GB"/>
              </w:rPr>
              <w:t>(In addition to those differences noted above</w:t>
            </w:r>
            <w:proofErr w:type="gramStart"/>
            <w:r>
              <w:rPr>
                <w:lang w:val="en-GB"/>
              </w:rPr>
              <w:t>) :</w:t>
            </w:r>
            <w:proofErr w:type="gramEnd"/>
          </w:p>
          <w:p w14:paraId="60105BB2" w14:textId="77777777" w:rsidR="008E1DEF" w:rsidRDefault="008E1DEF">
            <w:pPr>
              <w:rPr>
                <w:lang w:val="en-GB"/>
              </w:rPr>
            </w:pPr>
          </w:p>
          <w:p w14:paraId="6E9AA9A8" w14:textId="77777777" w:rsidR="008E1DEF" w:rsidRDefault="00000000">
            <w:pPr>
              <w:rPr>
                <w:lang w:val="en-GB"/>
              </w:rPr>
            </w:pPr>
            <w:r>
              <w:rPr>
                <w:lang w:val="en-GB"/>
              </w:rPr>
              <w:t>Gender marker guidance requires that results from gender analysis should inform the design of the project/programme</w:t>
            </w:r>
          </w:p>
          <w:p w14:paraId="3E6B84BF" w14:textId="77777777" w:rsidR="008E1DEF" w:rsidRDefault="008E1DEF">
            <w:pPr>
              <w:rPr>
                <w:lang w:val="en-GB"/>
              </w:rPr>
            </w:pPr>
          </w:p>
          <w:p w14:paraId="3DD070D3" w14:textId="77777777" w:rsidR="008E1DEF" w:rsidRDefault="00000000">
            <w:pPr>
              <w:rPr>
                <w:lang w:val="en-GB"/>
              </w:rPr>
            </w:pPr>
            <w:r>
              <w:rPr>
                <w:lang w:val="en-GB"/>
              </w:rPr>
              <w:t>Gender marker guidance requires at least one gender-specific indicator</w:t>
            </w:r>
          </w:p>
          <w:p w14:paraId="0085158A" w14:textId="77777777" w:rsidR="008E1DEF" w:rsidRDefault="008E1DEF">
            <w:pPr>
              <w:rPr>
                <w:lang w:val="en-GB"/>
              </w:rPr>
            </w:pPr>
          </w:p>
          <w:p w14:paraId="0C97FC2B" w14:textId="77777777" w:rsidR="008E1DEF" w:rsidRDefault="00000000">
            <w:pPr>
              <w:rPr>
                <w:lang w:val="en-GB"/>
              </w:rPr>
            </w:pPr>
            <w:r>
              <w:rPr>
                <w:lang w:val="en-GB"/>
              </w:rPr>
              <w:t>Gender marker guidance requires data and indicators to be disaggregated by sex where applicable</w:t>
            </w:r>
          </w:p>
          <w:p w14:paraId="3DB1B778" w14:textId="77777777" w:rsidR="008E1DEF" w:rsidRDefault="008E1DEF">
            <w:pPr>
              <w:rPr>
                <w:lang w:val="en-GB"/>
              </w:rPr>
            </w:pPr>
          </w:p>
          <w:p w14:paraId="65D83E43" w14:textId="77777777" w:rsidR="008E1DEF" w:rsidRDefault="00000000">
            <w:pPr>
              <w:rPr>
                <w:lang w:val="en-GB"/>
              </w:rPr>
            </w:pPr>
            <w:r>
              <w:rPr>
                <w:lang w:val="en-GB"/>
              </w:rPr>
              <w:t>Gender marker guidance requires commitment to monitor and report on the gender equality results achieved by the project in the evaluation phase</w:t>
            </w:r>
          </w:p>
        </w:tc>
      </w:tr>
      <w:tr w:rsidR="008E1DEF" w14:paraId="45C77350" w14:textId="77777777">
        <w:tc>
          <w:tcPr>
            <w:tcW w:w="890" w:type="dxa"/>
          </w:tcPr>
          <w:p w14:paraId="382CC87A" w14:textId="77777777" w:rsidR="008E1DEF" w:rsidRDefault="00000000">
            <w:pPr>
              <w:rPr>
                <w:lang w:val="en-GB"/>
              </w:rPr>
            </w:pPr>
            <w:r>
              <w:rPr>
                <w:lang w:val="en-GB"/>
              </w:rPr>
              <w:t>2</w:t>
            </w:r>
          </w:p>
        </w:tc>
        <w:tc>
          <w:tcPr>
            <w:tcW w:w="4492" w:type="dxa"/>
          </w:tcPr>
          <w:p w14:paraId="2913C18B" w14:textId="77777777" w:rsidR="008E1DEF" w:rsidRDefault="00000000">
            <w:pPr>
              <w:rPr>
                <w:lang w:val="en-GB"/>
              </w:rPr>
            </w:pPr>
            <w:r>
              <w:rPr>
                <w:lang w:val="en-GB"/>
              </w:rPr>
              <w:t xml:space="preserve">Page </w:t>
            </w:r>
            <w:proofErr w:type="gramStart"/>
            <w:r>
              <w:rPr>
                <w:lang w:val="en-GB"/>
              </w:rPr>
              <w:t>13 :</w:t>
            </w:r>
            <w:proofErr w:type="gramEnd"/>
            <w:r>
              <w:rPr>
                <w:lang w:val="en-GB"/>
              </w:rPr>
              <w:t xml:space="preserve"> Inclusion and empowerment of persons with disability is the principal objective.</w:t>
            </w:r>
          </w:p>
          <w:p w14:paraId="75F4C770" w14:textId="77777777" w:rsidR="008E1DEF" w:rsidRDefault="008E1DEF">
            <w:pPr>
              <w:rPr>
                <w:lang w:val="en-GB"/>
              </w:rPr>
            </w:pPr>
          </w:p>
          <w:p w14:paraId="4A93FAA3" w14:textId="62F084F0" w:rsidR="008E1DEF" w:rsidRDefault="00000000">
            <w:pPr>
              <w:rPr>
                <w:lang w:val="en-GB"/>
              </w:rPr>
            </w:pPr>
            <w:r>
              <w:rPr>
                <w:lang w:val="en-GB"/>
              </w:rPr>
              <w:lastRenderedPageBreak/>
              <w:t xml:space="preserve">Page </w:t>
            </w:r>
            <w:proofErr w:type="gramStart"/>
            <w:r>
              <w:rPr>
                <w:lang w:val="en-GB"/>
              </w:rPr>
              <w:t>14 :</w:t>
            </w:r>
            <w:proofErr w:type="gramEnd"/>
            <w:r>
              <w:rPr>
                <w:lang w:val="en-GB"/>
              </w:rPr>
              <w:t xml:space="preserve"> the project supports activities that contribute to respect, protection and fulfilment of the rights and inclusion of persons with disabilities ; and these activities are explicitly promoted in the activity documentation through specific measures, as stated in the eligibility criteria of the disability inclusion policy marker. Disability inclusion is the principal objective of the project, fundamental in its design and expected results. (The project would not have been undertaken without the disability objective). </w:t>
            </w:r>
          </w:p>
          <w:p w14:paraId="2A032F3C" w14:textId="77777777" w:rsidR="008E1DEF" w:rsidRDefault="008E1DEF">
            <w:pPr>
              <w:rPr>
                <w:lang w:val="en-GB"/>
              </w:rPr>
            </w:pPr>
          </w:p>
          <w:p w14:paraId="5737D97A" w14:textId="77777777" w:rsidR="008E1DEF" w:rsidRDefault="008E1DEF">
            <w:pPr>
              <w:rPr>
                <w:lang w:val="en-GB"/>
              </w:rPr>
            </w:pPr>
          </w:p>
        </w:tc>
        <w:tc>
          <w:tcPr>
            <w:tcW w:w="5089" w:type="dxa"/>
          </w:tcPr>
          <w:p w14:paraId="149EFE81" w14:textId="77777777" w:rsidR="008E1DEF" w:rsidRDefault="00000000">
            <w:pPr>
              <w:rPr>
                <w:lang w:val="en-GB"/>
              </w:rPr>
            </w:pPr>
            <w:r>
              <w:rPr>
                <w:lang w:val="en-GB"/>
              </w:rPr>
              <w:lastRenderedPageBreak/>
              <w:t xml:space="preserve">Gender equality is the main objective of the project/programme and is fundamental in its design and expected results. The project/programme would not have been undertaken without this gender equality objective. The project/programme is </w:t>
            </w:r>
            <w:r>
              <w:rPr>
                <w:lang w:val="en-GB"/>
              </w:rPr>
              <w:lastRenderedPageBreak/>
              <w:t>designed with the principal intention of advancing gender equality and/or the empowerment of women and girls, reducing gender discrimination or inequalities, or meeting gender-specific needs.</w:t>
            </w:r>
          </w:p>
          <w:p w14:paraId="329664E5" w14:textId="77777777" w:rsidR="008E1DEF" w:rsidRDefault="008E1DEF">
            <w:pPr>
              <w:rPr>
                <w:lang w:val="en-GB"/>
              </w:rPr>
            </w:pPr>
          </w:p>
          <w:p w14:paraId="4EA96A5A" w14:textId="77777777" w:rsidR="008E1DEF" w:rsidRDefault="00000000">
            <w:pPr>
              <w:rPr>
                <w:lang w:val="en-GB"/>
              </w:rPr>
            </w:pPr>
            <w:r>
              <w:rPr>
                <w:lang w:val="en-GB"/>
              </w:rPr>
              <w:t>Minimum criteria (should be met in full</w:t>
            </w:r>
            <w:proofErr w:type="gramStart"/>
            <w:r>
              <w:rPr>
                <w:lang w:val="en-GB"/>
              </w:rPr>
              <w:t>) :</w:t>
            </w:r>
            <w:proofErr w:type="gramEnd"/>
          </w:p>
          <w:p w14:paraId="5461CB45" w14:textId="77777777" w:rsidR="008E1DEF" w:rsidRDefault="00000000">
            <w:pPr>
              <w:rPr>
                <w:lang w:val="en-GB"/>
              </w:rPr>
            </w:pPr>
            <w:r>
              <w:rPr>
                <w:lang w:val="en-GB"/>
              </w:rPr>
              <w:t xml:space="preserve">- A gender analysis of the project/programme has been conducted. </w:t>
            </w:r>
          </w:p>
          <w:p w14:paraId="46C00855" w14:textId="77777777" w:rsidR="008E1DEF" w:rsidRDefault="00000000">
            <w:pPr>
              <w:rPr>
                <w:lang w:val="en-GB"/>
              </w:rPr>
            </w:pPr>
            <w:r>
              <w:rPr>
                <w:lang w:val="en-GB"/>
              </w:rPr>
              <w:t xml:space="preserve">- Findings from this gender analysis have informed the design of the project/programme and the intervention adopts a ‘do no harm’ approach. </w:t>
            </w:r>
          </w:p>
          <w:p w14:paraId="500C7ECB" w14:textId="77777777" w:rsidR="008E1DEF" w:rsidRDefault="00000000">
            <w:pPr>
              <w:rPr>
                <w:lang w:val="en-GB"/>
              </w:rPr>
            </w:pPr>
            <w:r>
              <w:rPr>
                <w:lang w:val="en-GB"/>
              </w:rPr>
              <w:t xml:space="preserve">- The top-level ambition of the project/programme is to advance gender equality and/or women’s empowerment. </w:t>
            </w:r>
          </w:p>
          <w:p w14:paraId="0A690A64" w14:textId="77777777" w:rsidR="008E1DEF" w:rsidRDefault="00000000">
            <w:pPr>
              <w:rPr>
                <w:lang w:val="en-GB"/>
              </w:rPr>
            </w:pPr>
            <w:r>
              <w:rPr>
                <w:lang w:val="en-GB"/>
              </w:rPr>
              <w:t xml:space="preserve">- The results framework measures progress towards the project/ programme’s gender equality objectives through gender-specific indicators to track outcomes/impact. </w:t>
            </w:r>
          </w:p>
          <w:p w14:paraId="7AC04D3B" w14:textId="77777777" w:rsidR="008E1DEF" w:rsidRDefault="00000000">
            <w:pPr>
              <w:rPr>
                <w:lang w:val="en-GB"/>
              </w:rPr>
            </w:pPr>
            <w:r>
              <w:rPr>
                <w:lang w:val="en-GB"/>
              </w:rPr>
              <w:t xml:space="preserve">- Data and indicators are disaggregated by sex where applicable. </w:t>
            </w:r>
          </w:p>
          <w:p w14:paraId="3E5FC566" w14:textId="77777777" w:rsidR="008E1DEF" w:rsidRDefault="00000000">
            <w:pPr>
              <w:rPr>
                <w:lang w:val="en-GB"/>
              </w:rPr>
            </w:pPr>
            <w:r>
              <w:rPr>
                <w:lang w:val="en-GB"/>
              </w:rPr>
              <w:t>- Commitment to monitor and report on the gender equality results achieved by the project in the evaluation phase.</w:t>
            </w:r>
          </w:p>
        </w:tc>
        <w:tc>
          <w:tcPr>
            <w:tcW w:w="3477" w:type="dxa"/>
          </w:tcPr>
          <w:p w14:paraId="7B24A25B" w14:textId="77777777" w:rsidR="008E1DEF" w:rsidRDefault="00000000">
            <w:pPr>
              <w:rPr>
                <w:lang w:val="en-GB"/>
              </w:rPr>
            </w:pPr>
            <w:r>
              <w:rPr>
                <w:lang w:val="en-GB"/>
              </w:rPr>
              <w:lastRenderedPageBreak/>
              <w:t>(In addition to those differences noted above</w:t>
            </w:r>
            <w:proofErr w:type="gramStart"/>
            <w:r>
              <w:rPr>
                <w:lang w:val="en-GB"/>
              </w:rPr>
              <w:t>) :</w:t>
            </w:r>
            <w:proofErr w:type="gramEnd"/>
          </w:p>
          <w:p w14:paraId="47758820" w14:textId="77777777" w:rsidR="008E1DEF" w:rsidRDefault="008E1DEF">
            <w:pPr>
              <w:rPr>
                <w:lang w:val="en-GB"/>
              </w:rPr>
            </w:pPr>
          </w:p>
          <w:p w14:paraId="02F41243" w14:textId="77777777" w:rsidR="008E1DEF" w:rsidRDefault="00000000">
            <w:pPr>
              <w:rPr>
                <w:lang w:val="en-GB"/>
              </w:rPr>
            </w:pPr>
            <w:r>
              <w:rPr>
                <w:lang w:val="en-GB"/>
              </w:rPr>
              <w:t xml:space="preserve">Gender marker guidance requires that the results framework </w:t>
            </w:r>
            <w:r>
              <w:rPr>
                <w:lang w:val="en-GB"/>
              </w:rPr>
              <w:lastRenderedPageBreak/>
              <w:t>measures progress towards the project/ programme’s gender equality objectives through gender-specific indicators to track outcomes/impact.</w:t>
            </w:r>
          </w:p>
          <w:p w14:paraId="686D57A0" w14:textId="77777777" w:rsidR="008E1DEF" w:rsidRDefault="008E1DEF">
            <w:pPr>
              <w:rPr>
                <w:lang w:val="en-GB"/>
              </w:rPr>
            </w:pPr>
          </w:p>
        </w:tc>
      </w:tr>
    </w:tbl>
    <w:p w14:paraId="0F9F9AE8" w14:textId="77777777" w:rsidR="008E1DEF" w:rsidRDefault="00000000">
      <w:pPr>
        <w:rPr>
          <w:sz w:val="20"/>
          <w:szCs w:val="20"/>
          <w:lang w:val="en-GB"/>
        </w:rPr>
      </w:pPr>
      <w:r>
        <w:rPr>
          <w:sz w:val="20"/>
          <w:szCs w:val="20"/>
          <w:lang w:val="en-GB"/>
        </w:rPr>
        <w:lastRenderedPageBreak/>
        <w:t xml:space="preserve">Source : author’s analysis of OECD-DAC, 2020, </w:t>
      </w:r>
      <w:hyperlink r:id="rId19" w:history="1">
        <w:r>
          <w:rPr>
            <w:rStyle w:val="Hyperkobling"/>
            <w:sz w:val="20"/>
            <w:szCs w:val="20"/>
            <w:lang w:val="en-GB"/>
          </w:rPr>
          <w:t>The OECD-DAC policy marker on the inclusion and empowerment of persons with disabilities: handbook for data reporters and users</w:t>
        </w:r>
      </w:hyperlink>
      <w:r>
        <w:rPr>
          <w:sz w:val="20"/>
          <w:szCs w:val="20"/>
          <w:lang w:val="en-GB"/>
        </w:rPr>
        <w:t xml:space="preserve">; and OECD-DAC, 2016, </w:t>
      </w:r>
      <w:hyperlink r:id="rId20" w:history="1">
        <w:r>
          <w:rPr>
            <w:rStyle w:val="Hyperkobling"/>
            <w:sz w:val="20"/>
            <w:szCs w:val="20"/>
            <w:lang w:val="en-GB"/>
          </w:rPr>
          <w:t>Handbook on the OECD-DAC gender equality policy marker</w:t>
        </w:r>
      </w:hyperlink>
    </w:p>
    <w:p w14:paraId="79067DC2" w14:textId="77777777" w:rsidR="008E1DEF" w:rsidRDefault="008E1DEF">
      <w:pPr>
        <w:rPr>
          <w:lang w:val="en-GB"/>
        </w:rPr>
      </w:pPr>
    </w:p>
    <w:p w14:paraId="0913869F" w14:textId="77777777" w:rsidR="008E1DEF" w:rsidRDefault="008E1DEF">
      <w:pPr>
        <w:rPr>
          <w:lang w:val="en-GB"/>
        </w:rPr>
      </w:pPr>
    </w:p>
    <w:p w14:paraId="4D204113" w14:textId="77777777" w:rsidR="008E1DEF" w:rsidRDefault="008E1DEF">
      <w:pPr>
        <w:rPr>
          <w:lang w:val="en-GB"/>
        </w:rPr>
      </w:pPr>
    </w:p>
    <w:p w14:paraId="696D6265" w14:textId="77777777" w:rsidR="008E1DEF" w:rsidRDefault="008E1DEF">
      <w:pPr>
        <w:rPr>
          <w:lang w:val="en-GB"/>
        </w:rPr>
        <w:sectPr w:rsidR="008E1DEF">
          <w:pgSz w:w="16838" w:h="11906" w:orient="landscape"/>
          <w:pgMar w:top="1440" w:right="1440" w:bottom="1440" w:left="1440" w:header="709" w:footer="709" w:gutter="0"/>
          <w:cols w:space="708"/>
          <w:docGrid w:linePitch="360"/>
        </w:sectPr>
      </w:pPr>
    </w:p>
    <w:p w14:paraId="2239916C" w14:textId="72611654" w:rsidR="008E1DEF" w:rsidRDefault="00000000">
      <w:pPr>
        <w:rPr>
          <w:lang w:val="en-GB"/>
        </w:rPr>
      </w:pPr>
      <w:r>
        <w:rPr>
          <w:lang w:val="en-GB"/>
        </w:rPr>
        <w:lastRenderedPageBreak/>
        <w:t>As the analysis in Table 1 shows, there are several other ways in which the OECD-DAC minimum criteria for the gender equality policy marker are more extensive than those for the disability inclusion policy marker, as well as « doing no harm ». Striking differences include the gender equality policy marker’s requirement to undertake a gender analysis, and its specific requirements on monitoring and evaluation.</w:t>
      </w:r>
      <w:r>
        <w:rPr>
          <w:rStyle w:val="Fotnotereferanse"/>
          <w:lang w:val="en-GB"/>
        </w:rPr>
        <w:footnoteReference w:id="68"/>
      </w:r>
      <w:r>
        <w:rPr>
          <w:lang w:val="en-GB"/>
        </w:rPr>
        <w:t xml:space="preserve"> </w:t>
      </w:r>
    </w:p>
    <w:p w14:paraId="47C66DD4" w14:textId="6E306F72" w:rsidR="008E1DEF" w:rsidRDefault="00000000">
      <w:pPr>
        <w:rPr>
          <w:b/>
          <w:bCs/>
          <w:lang w:val="en-GB"/>
        </w:rPr>
      </w:pPr>
      <w:r>
        <w:rPr>
          <w:b/>
          <w:bCs/>
          <w:lang w:val="en-GB"/>
        </w:rPr>
        <w:t xml:space="preserve">There seems an opportunity for the OECD-DAC – in consultation with organisations of persons with disabilities – to strengthen the rigour of the disability inclusion policy marker and its comparability with the gender equality policy marker, by introducing a set of minimum scoring criteria, </w:t>
      </w:r>
      <w:proofErr w:type="gramStart"/>
      <w:r>
        <w:rPr>
          <w:b/>
          <w:bCs/>
          <w:lang w:val="en-GB"/>
        </w:rPr>
        <w:t>similar to</w:t>
      </w:r>
      <w:proofErr w:type="gramEnd"/>
      <w:r>
        <w:rPr>
          <w:b/>
          <w:bCs/>
          <w:lang w:val="en-GB"/>
        </w:rPr>
        <w:t xml:space="preserve"> those already used for the gender equality policy marker, to the disability inclusion policy marker handbook. </w:t>
      </w:r>
    </w:p>
    <w:p w14:paraId="22703CCD" w14:textId="77777777" w:rsidR="008E1DEF" w:rsidRDefault="00000000">
      <w:pPr>
        <w:pStyle w:val="Overskrift5"/>
        <w:rPr>
          <w:b/>
          <w:bCs/>
          <w:lang w:val="en-GB"/>
        </w:rPr>
      </w:pPr>
      <w:r>
        <w:rPr>
          <w:b/>
          <w:bCs/>
          <w:lang w:val="en-GB"/>
        </w:rPr>
        <w:t>Meaningful involvement of persons with disabilities and their representative organisations</w:t>
      </w:r>
    </w:p>
    <w:p w14:paraId="46D955B2" w14:textId="1C37F34B" w:rsidR="008E1DEF" w:rsidRDefault="00000000">
      <w:pPr>
        <w:rPr>
          <w:lang w:val="en-GB"/>
        </w:rPr>
      </w:pPr>
      <w:r>
        <w:rPr>
          <w:lang w:val="en-GB"/>
        </w:rPr>
        <w:t>Meaningful involvement of persons with disabilities and their representative organisations</w:t>
      </w:r>
      <w:r>
        <w:rPr>
          <w:rStyle w:val="Fotnotereferanse"/>
          <w:lang w:val="en-GB"/>
        </w:rPr>
        <w:footnoteReference w:id="69"/>
      </w:r>
      <w:r>
        <w:rPr>
          <w:lang w:val="en-GB"/>
        </w:rPr>
        <w:t xml:space="preserve"> is fundamental to upholding the UN Convention on the Rights of Persons with Disabilities,</w:t>
      </w:r>
      <w:r>
        <w:rPr>
          <w:rStyle w:val="Fotnotereferanse"/>
          <w:lang w:val="en-GB"/>
        </w:rPr>
        <w:footnoteReference w:id="70"/>
      </w:r>
      <w:r>
        <w:rPr>
          <w:lang w:val="en-GB"/>
        </w:rPr>
        <w:t xml:space="preserve"> to ensuring effective programming, and to redressing some of the inequalities that have historically disempowered persons with disabilities.</w:t>
      </w:r>
    </w:p>
    <w:p w14:paraId="1AB9639C" w14:textId="4B23FB43" w:rsidR="008E1DEF" w:rsidRDefault="00000000">
      <w:pPr>
        <w:rPr>
          <w:lang w:val="en-GB"/>
        </w:rPr>
      </w:pPr>
      <w:r>
        <w:rPr>
          <w:lang w:val="en-GB"/>
        </w:rPr>
        <w:t>Yet the disability inclusion policy marker, in its present form, does not include any requirement that projects can only be reported as disability inclusive if they closely consult and actively involve representative organisations of persons with disabilities (</w:t>
      </w:r>
      <w:proofErr w:type="spellStart"/>
      <w:r>
        <w:rPr>
          <w:lang w:val="en-GB"/>
        </w:rPr>
        <w:t>OPDs</w:t>
      </w:r>
      <w:proofErr w:type="spellEnd"/>
      <w:r>
        <w:rPr>
          <w:lang w:val="en-GB"/>
        </w:rPr>
        <w:t xml:space="preserve">). Consultation with </w:t>
      </w:r>
      <w:proofErr w:type="spellStart"/>
      <w:r>
        <w:rPr>
          <w:lang w:val="en-GB"/>
        </w:rPr>
        <w:t>OPDs</w:t>
      </w:r>
      <w:proofErr w:type="spellEnd"/>
      <w:r>
        <w:rPr>
          <w:lang w:val="en-GB"/>
        </w:rPr>
        <w:t xml:space="preserve"> is simply recommended as a good programming practice, separate from the scoring criteria.</w:t>
      </w:r>
      <w:r>
        <w:rPr>
          <w:rStyle w:val="Fotnotereferanse"/>
          <w:lang w:val="en-GB"/>
        </w:rPr>
        <w:footnoteReference w:id="71"/>
      </w:r>
      <w:r>
        <w:rPr>
          <w:lang w:val="en-GB"/>
        </w:rPr>
        <w:t xml:space="preserve"> If – as recommended above – the OECD-DAC were to develop more detailed minimum scoring criteria for the disability inclusion policy marker, it would be essential to include consultation with representative </w:t>
      </w:r>
      <w:proofErr w:type="spellStart"/>
      <w:r>
        <w:rPr>
          <w:lang w:val="en-GB"/>
        </w:rPr>
        <w:t>OPDs</w:t>
      </w:r>
      <w:proofErr w:type="spellEnd"/>
      <w:r>
        <w:rPr>
          <w:lang w:val="en-GB"/>
        </w:rPr>
        <w:t xml:space="preserve"> as one of these minimum criteria.</w:t>
      </w:r>
    </w:p>
    <w:p w14:paraId="6C6D19BA" w14:textId="57C65CE3" w:rsidR="008E1DEF" w:rsidRDefault="00000000">
      <w:pPr>
        <w:rPr>
          <w:lang w:val="en-GB"/>
        </w:rPr>
      </w:pPr>
      <w:r>
        <w:rPr>
          <w:lang w:val="en-GB"/>
        </w:rPr>
        <w:lastRenderedPageBreak/>
        <w:t xml:space="preserve">On the same theme, a further missed opportunity to harmonise the OECD-DAC’s data on disability inclusion with its data on gender equality concerns the OECD-DAC’s system of « purpose codes ». When projects are entered in the OECD-DAC database, they are assigned </w:t>
      </w:r>
      <w:r>
        <w:rPr>
          <w:b/>
          <w:bCs/>
          <w:lang w:val="en-GB"/>
        </w:rPr>
        <w:t>both</w:t>
      </w:r>
      <w:r>
        <w:rPr>
          <w:lang w:val="en-GB"/>
        </w:rPr>
        <w:t xml:space="preserve"> purpose codes and policy </w:t>
      </w:r>
      <w:proofErr w:type="spellStart"/>
      <w:r>
        <w:rPr>
          <w:lang w:val="en-GB"/>
        </w:rPr>
        <w:t>markers</w:t>
      </w:r>
      <w:proofErr w:type="spellEnd"/>
      <w:r>
        <w:rPr>
          <w:lang w:val="en-GB"/>
        </w:rPr>
        <w:t xml:space="preserve">, serving complementary </w:t>
      </w:r>
      <w:proofErr w:type="gramStart"/>
      <w:r>
        <w:rPr>
          <w:lang w:val="en-GB"/>
        </w:rPr>
        <w:t>purposes :</w:t>
      </w:r>
      <w:proofErr w:type="gramEnd"/>
      <w:r>
        <w:rPr>
          <w:lang w:val="en-GB"/>
        </w:rPr>
        <w:t xml:space="preserve"> policy markers cover cross-cutting themes, while purpose codes cover more specific information on the detailed sectoral focus of a project. The OECD-DAC database already has a purpose code for ODA to « women’s equality organisations and institutions ».</w:t>
      </w:r>
      <w:r>
        <w:rPr>
          <w:rStyle w:val="Fotnotereferanse"/>
          <w:lang w:val="en-GB"/>
        </w:rPr>
        <w:footnoteReference w:id="72"/>
      </w:r>
      <w:r>
        <w:rPr>
          <w:lang w:val="en-GB"/>
        </w:rPr>
        <w:t xml:space="preserve"> Given the pressing need for </w:t>
      </w:r>
      <w:proofErr w:type="spellStart"/>
      <w:r>
        <w:rPr>
          <w:lang w:val="en-GB"/>
        </w:rPr>
        <w:t>OPDs</w:t>
      </w:r>
      <w:proofErr w:type="spellEnd"/>
      <w:r>
        <w:rPr>
          <w:lang w:val="en-GB"/>
        </w:rPr>
        <w:t xml:space="preserve"> to receive more direct ODA funding,</w:t>
      </w:r>
      <w:r>
        <w:rPr>
          <w:rStyle w:val="Fotnotereferanse"/>
          <w:lang w:val="en-GB"/>
        </w:rPr>
        <w:footnoteReference w:id="73"/>
      </w:r>
      <w:r>
        <w:rPr>
          <w:lang w:val="en-GB"/>
        </w:rPr>
        <w:t xml:space="preserve"> there would seem to be a strong case for introducing a comparable purpose code for ODA to support </w:t>
      </w:r>
      <w:proofErr w:type="spellStart"/>
      <w:r>
        <w:rPr>
          <w:lang w:val="en-GB"/>
        </w:rPr>
        <w:t>OPDs</w:t>
      </w:r>
      <w:proofErr w:type="spellEnd"/>
      <w:r>
        <w:rPr>
          <w:lang w:val="en-GB"/>
        </w:rPr>
        <w:t>.</w:t>
      </w:r>
    </w:p>
    <w:p w14:paraId="090E687E" w14:textId="28FD5B2C" w:rsidR="008E1DEF" w:rsidRDefault="00000000">
      <w:pPr>
        <w:pStyle w:val="Overskrift4"/>
        <w:rPr>
          <w:b/>
          <w:bCs/>
          <w:lang w:val="en-GB"/>
        </w:rPr>
      </w:pPr>
      <w:r>
        <w:rPr>
          <w:b/>
          <w:bCs/>
          <w:lang w:val="en-GB"/>
        </w:rPr>
        <w:t>Other positions on the marker criteria</w:t>
      </w:r>
    </w:p>
    <w:p w14:paraId="0A5AF073" w14:textId="7A7F6B00" w:rsidR="008E1DEF" w:rsidRDefault="00000000">
      <w:pPr>
        <w:rPr>
          <w:lang w:val="en-GB"/>
        </w:rPr>
      </w:pPr>
      <w:r>
        <w:rPr>
          <w:lang w:val="en-GB"/>
        </w:rPr>
        <w:t xml:space="preserve">In their 2021 </w:t>
      </w:r>
      <w:proofErr w:type="spellStart"/>
      <w:r>
        <w:rPr>
          <w:lang w:val="en-GB"/>
        </w:rPr>
        <w:t>Norad</w:t>
      </w:r>
      <w:proofErr w:type="spellEnd"/>
      <w:r>
        <w:rPr>
          <w:lang w:val="en-GB"/>
        </w:rPr>
        <w:t xml:space="preserve">-commissioned mapping study on efforts to include persons with disabilities in Norwegian development assistance, Larsen and Nilsson also make recommendations on the disability inclusion policy marker criteria. Three of their main recommendations </w:t>
      </w:r>
      <w:proofErr w:type="gramStart"/>
      <w:r>
        <w:rPr>
          <w:lang w:val="en-GB"/>
        </w:rPr>
        <w:t>are :</w:t>
      </w:r>
      <w:proofErr w:type="gramEnd"/>
    </w:p>
    <w:p w14:paraId="7D0E369F" w14:textId="77777777" w:rsidR="008E1DEF" w:rsidRDefault="00000000">
      <w:pPr>
        <w:pStyle w:val="Listeavsnitt"/>
        <w:numPr>
          <w:ilvl w:val="0"/>
          <w:numId w:val="27"/>
        </w:numPr>
        <w:rPr>
          <w:lang w:val="en-GB"/>
        </w:rPr>
      </w:pPr>
      <w:r>
        <w:rPr>
          <w:lang w:val="en-GB"/>
        </w:rPr>
        <w:t xml:space="preserve">« Clarifying in more detail what should be the minimum qualifications for a “significant” disability focus in a project and how to code larger contracts such as country programmes and core support to partners, which contain many important and interesting disability components – without reaching a level of “significance” in the total programme/organisation. </w:t>
      </w:r>
    </w:p>
    <w:p w14:paraId="2C1E8A42" w14:textId="77777777" w:rsidR="008E1DEF" w:rsidRDefault="00000000">
      <w:pPr>
        <w:pStyle w:val="Listeavsnitt"/>
        <w:numPr>
          <w:ilvl w:val="0"/>
          <w:numId w:val="27"/>
        </w:numPr>
        <w:rPr>
          <w:lang w:val="en-GB"/>
        </w:rPr>
      </w:pPr>
      <w:r>
        <w:rPr>
          <w:lang w:val="en-GB"/>
        </w:rPr>
        <w:t xml:space="preserve">Introducing an additional marker that captures “emerging/partly” disability focussed efforts. This would be a way to acknowledge that disability inclusion is a process. </w:t>
      </w:r>
    </w:p>
    <w:p w14:paraId="043C0C5F" w14:textId="453562DD" w:rsidR="008E1DEF" w:rsidRDefault="00000000">
      <w:pPr>
        <w:pStyle w:val="Listeavsnitt"/>
        <w:numPr>
          <w:ilvl w:val="0"/>
          <w:numId w:val="27"/>
        </w:numPr>
        <w:rPr>
          <w:lang w:val="en-GB"/>
        </w:rPr>
      </w:pPr>
      <w:r>
        <w:rPr>
          <w:lang w:val="en-GB"/>
        </w:rPr>
        <w:t>Providing guidance on what type of segregated initiatives that should be excluded, as some segregated initiatives might be beneficial and others harmful to inclusion. »</w:t>
      </w:r>
      <w:r>
        <w:rPr>
          <w:rStyle w:val="Fotnotereferanse"/>
          <w:lang w:val="en-GB"/>
        </w:rPr>
        <w:footnoteReference w:id="74"/>
      </w:r>
    </w:p>
    <w:p w14:paraId="6A31992E" w14:textId="5F35FEC5" w:rsidR="008E1DEF" w:rsidRDefault="00000000">
      <w:pPr>
        <w:rPr>
          <w:lang w:val="en-GB"/>
        </w:rPr>
      </w:pPr>
      <w:r>
        <w:rPr>
          <w:lang w:val="en-GB"/>
        </w:rPr>
        <w:t xml:space="preserve">These recommendations generally cover somewhat different ground from the call to action by IDA, </w:t>
      </w:r>
      <w:proofErr w:type="spellStart"/>
      <w:r>
        <w:rPr>
          <w:lang w:val="en-GB"/>
        </w:rPr>
        <w:t>EDF</w:t>
      </w:r>
      <w:proofErr w:type="spellEnd"/>
      <w:r>
        <w:rPr>
          <w:lang w:val="en-GB"/>
        </w:rPr>
        <w:t xml:space="preserve"> and their allies</w:t>
      </w:r>
      <w:r>
        <w:rPr>
          <w:rStyle w:val="Fotnotereferanse"/>
          <w:lang w:val="en-GB"/>
        </w:rPr>
        <w:footnoteReference w:id="75"/>
      </w:r>
      <w:r>
        <w:rPr>
          <w:lang w:val="en-GB"/>
        </w:rPr>
        <w:t xml:space="preserve"> – and on recommendation (c) in particular there may even be a risk of tension with some of IDA’s positioning on the marker.</w:t>
      </w:r>
      <w:r>
        <w:rPr>
          <w:rStyle w:val="Fotnotereferanse"/>
          <w:lang w:val="en-GB"/>
        </w:rPr>
        <w:footnoteReference w:id="76"/>
      </w:r>
      <w:r>
        <w:rPr>
          <w:lang w:val="en-GB"/>
        </w:rPr>
        <w:t xml:space="preserve"> This current report advises that these recommendations needs further consultations with a wide diversity of organisations of persons with disabilities.</w:t>
      </w:r>
      <w:r>
        <w:rPr>
          <w:rStyle w:val="Fotnotereferanse"/>
          <w:lang w:val="en-GB"/>
        </w:rPr>
        <w:footnoteReference w:id="77"/>
      </w:r>
      <w:r>
        <w:rPr>
          <w:lang w:val="en-GB"/>
        </w:rPr>
        <w:t xml:space="preserve"> It advises that, within the constraints of the forthcoming seminar, it may be more fruitful to focus on recommendations aligned to the IDA, </w:t>
      </w:r>
      <w:proofErr w:type="spellStart"/>
      <w:r>
        <w:rPr>
          <w:lang w:val="en-GB"/>
        </w:rPr>
        <w:t>EDF</w:t>
      </w:r>
      <w:proofErr w:type="spellEnd"/>
      <w:r>
        <w:rPr>
          <w:lang w:val="en-GB"/>
        </w:rPr>
        <w:t xml:space="preserve">, </w:t>
      </w:r>
      <w:proofErr w:type="spellStart"/>
      <w:r>
        <w:rPr>
          <w:lang w:val="en-GB"/>
        </w:rPr>
        <w:t>IDDC</w:t>
      </w:r>
      <w:proofErr w:type="spellEnd"/>
      <w:r>
        <w:rPr>
          <w:lang w:val="en-GB"/>
        </w:rPr>
        <w:t xml:space="preserve"> and GLAD call to action, as set out in the preceding sections.  Annex 2 sets out some considerations that may be relevant if further consultations do take place in future: the considerations focus particularly on whether the </w:t>
      </w:r>
      <w:r>
        <w:rPr>
          <w:lang w:val="en-GB"/>
        </w:rPr>
        <w:lastRenderedPageBreak/>
        <w:t>recommendations are likely to help in monitoring spending that promotes the inclusion of persons with disabilities.</w:t>
      </w:r>
    </w:p>
    <w:p w14:paraId="3080DB00" w14:textId="5798A574" w:rsidR="008E1DEF" w:rsidRDefault="00000000">
      <w:pPr>
        <w:pStyle w:val="Overskrift2"/>
      </w:pPr>
      <w:bookmarkStart w:id="12" w:name="_Toc129039829"/>
      <w:r>
        <w:t>Conclusion</w:t>
      </w:r>
      <w:bookmarkEnd w:id="12"/>
    </w:p>
    <w:p w14:paraId="5A5E4E2A" w14:textId="3B5B0D04" w:rsidR="008E1DEF" w:rsidRDefault="00000000">
      <w:pPr>
        <w:rPr>
          <w:lang w:val="en-GB"/>
        </w:rPr>
      </w:pPr>
      <w:r>
        <w:rPr>
          <w:lang w:val="en-GB"/>
        </w:rPr>
        <w:t>The OECD-DAC disability inclusion policy marker has great potential as a monitoring and learning tool. In its first four years, the marker has already been adopted by two thirds of OECD-DAC members, and its results used for a wide range of analysis by internal and external stakeholders alike. This report has argued that there are opportunities to capitalise on this positive momentum and drive further progress in the uptake of the marker, the use of its results, the quality of reporting, and the scope of the marker itself. The Atlas Alliance and its allies across the disability movement are ready to work with stakeholders in the OECD-DAC and beyond to make the most of these opportunities.</w:t>
      </w:r>
    </w:p>
    <w:p w14:paraId="3F0576C5" w14:textId="77777777" w:rsidR="008E1DEF" w:rsidRDefault="00000000">
      <w:pPr>
        <w:pStyle w:val="Overskrift2"/>
      </w:pPr>
      <w:bookmarkStart w:id="13" w:name="_Toc129039830"/>
      <w:r>
        <w:t>Document credit and acknowledgements</w:t>
      </w:r>
      <w:bookmarkEnd w:id="13"/>
    </w:p>
    <w:p w14:paraId="4FAA2BA6" w14:textId="77945517" w:rsidR="008E1DEF" w:rsidRDefault="00000000">
      <w:pPr>
        <w:rPr>
          <w:lang w:val="en-GB"/>
        </w:rPr>
      </w:pPr>
      <w:r>
        <w:rPr>
          <w:lang w:val="en-GB"/>
        </w:rPr>
        <w:t>This document was written by Polly Meeks (</w:t>
      </w:r>
      <w:proofErr w:type="spellStart"/>
      <w:r>
        <w:rPr>
          <w:lang w:val="en-GB"/>
        </w:rPr>
        <w:t>polly</w:t>
      </w:r>
      <w:proofErr w:type="spellEnd"/>
      <w:r>
        <w:rPr>
          <w:lang w:val="en-GB"/>
        </w:rPr>
        <w:t xml:space="preserve"> </w:t>
      </w:r>
      <w:proofErr w:type="spellStart"/>
      <w:r>
        <w:rPr>
          <w:lang w:val="en-GB"/>
        </w:rPr>
        <w:t>meeks</w:t>
      </w:r>
      <w:proofErr w:type="spellEnd"/>
      <w:r>
        <w:rPr>
          <w:lang w:val="en-GB"/>
        </w:rPr>
        <w:t xml:space="preserve">[at]gmail.com) under the guidance of Morten Eriksen (The Atlas Alliance). I am grateful to have learnt from many valuable discussions on disability markers over the years, including discussions with Chantal Baumgarten (CBM Switzerland), Hannah </w:t>
      </w:r>
      <w:proofErr w:type="spellStart"/>
      <w:r>
        <w:rPr>
          <w:lang w:val="en-GB"/>
        </w:rPr>
        <w:t>Loryman</w:t>
      </w:r>
      <w:proofErr w:type="spellEnd"/>
      <w:r>
        <w:rPr>
          <w:lang w:val="en-GB"/>
        </w:rPr>
        <w:t xml:space="preserve"> (</w:t>
      </w:r>
      <w:proofErr w:type="spellStart"/>
      <w:r>
        <w:rPr>
          <w:lang w:val="en-GB"/>
        </w:rPr>
        <w:t>Sightsavers</w:t>
      </w:r>
      <w:proofErr w:type="spellEnd"/>
      <w:r>
        <w:rPr>
          <w:lang w:val="en-GB"/>
        </w:rPr>
        <w:t xml:space="preserve">) and Katariina </w:t>
      </w:r>
      <w:proofErr w:type="spellStart"/>
      <w:r>
        <w:rPr>
          <w:lang w:val="en-GB"/>
        </w:rPr>
        <w:t>Sario</w:t>
      </w:r>
      <w:proofErr w:type="spellEnd"/>
      <w:r>
        <w:rPr>
          <w:lang w:val="en-GB"/>
        </w:rPr>
        <w:t xml:space="preserve"> (independent consultant). I am also grateful for very generous advice from Annika Nilsson (NIDS Development Services), and for helpful feedback on my draft from Lilia </w:t>
      </w:r>
      <w:proofErr w:type="spellStart"/>
      <w:r>
        <w:rPr>
          <w:lang w:val="en-GB"/>
        </w:rPr>
        <w:t>Angelova</w:t>
      </w:r>
      <w:proofErr w:type="spellEnd"/>
      <w:r>
        <w:rPr>
          <w:lang w:val="en-GB"/>
        </w:rPr>
        <w:t xml:space="preserve"> (European Network on Independent Living), Ina </w:t>
      </w:r>
      <w:proofErr w:type="spellStart"/>
      <w:r>
        <w:rPr>
          <w:lang w:val="en-GB"/>
        </w:rPr>
        <w:t>Lykke</w:t>
      </w:r>
      <w:proofErr w:type="spellEnd"/>
      <w:r>
        <w:rPr>
          <w:lang w:val="en-GB"/>
        </w:rPr>
        <w:t xml:space="preserve"> Jensen (Disabled Peoples Organisations Denmark) and Dr Marion Steff (European Disability Forum). All opinions in this document, and any errors, are my sole responsibility.</w:t>
      </w:r>
    </w:p>
    <w:p w14:paraId="6EE97FD1" w14:textId="7127BF38" w:rsidR="008E1DEF" w:rsidRDefault="00000000">
      <w:pPr>
        <w:pStyle w:val="Overskrift2"/>
      </w:pPr>
      <w:r>
        <w:br/>
      </w:r>
      <w:r>
        <w:br/>
      </w:r>
      <w:bookmarkStart w:id="14" w:name="_Toc129039831"/>
      <w:r>
        <w:t>Annex 1: Further reading</w:t>
      </w:r>
      <w:bookmarkEnd w:id="14"/>
    </w:p>
    <w:p w14:paraId="0ED9579C" w14:textId="77777777" w:rsidR="008E1DEF" w:rsidRDefault="00000000">
      <w:pPr>
        <w:pStyle w:val="Fotnotetekst"/>
        <w:rPr>
          <w:rStyle w:val="Hyperkobling"/>
          <w:sz w:val="22"/>
          <w:szCs w:val="22"/>
          <w:lang w:val="en-GB"/>
        </w:rPr>
      </w:pPr>
      <w:r>
        <w:rPr>
          <w:sz w:val="22"/>
          <w:szCs w:val="22"/>
          <w:lang w:val="en-GB"/>
        </w:rPr>
        <w:t xml:space="preserve">International Disability Alliance, European Disability Forum, International Disability and Development Consortium, Global Action on Disability Network, 2019, </w:t>
      </w:r>
      <w:hyperlink r:id="rId21" w:history="1">
        <w:r>
          <w:rPr>
            <w:rStyle w:val="Hyperkobling"/>
            <w:sz w:val="22"/>
            <w:szCs w:val="22"/>
            <w:lang w:val="en-GB"/>
          </w:rPr>
          <w:t xml:space="preserve">Call to action – implementation of the disability </w:t>
        </w:r>
        <w:proofErr w:type="spellStart"/>
        <w:r>
          <w:rPr>
            <w:rStyle w:val="Hyperkobling"/>
            <w:sz w:val="22"/>
            <w:szCs w:val="22"/>
            <w:lang w:val="en-GB"/>
          </w:rPr>
          <w:t>incusion</w:t>
        </w:r>
        <w:proofErr w:type="spellEnd"/>
        <w:r>
          <w:rPr>
            <w:rStyle w:val="Hyperkobling"/>
            <w:sz w:val="22"/>
            <w:szCs w:val="22"/>
            <w:lang w:val="en-GB"/>
          </w:rPr>
          <w:t xml:space="preserve"> marker</w:t>
        </w:r>
      </w:hyperlink>
    </w:p>
    <w:p w14:paraId="4302B7B1" w14:textId="77777777" w:rsidR="008E1DEF" w:rsidRDefault="008E1DEF">
      <w:pPr>
        <w:pStyle w:val="Fotnotetekst"/>
        <w:rPr>
          <w:rStyle w:val="Hyperkobling"/>
          <w:sz w:val="22"/>
          <w:szCs w:val="22"/>
          <w:lang w:val="en-GB"/>
        </w:rPr>
      </w:pPr>
    </w:p>
    <w:p w14:paraId="5A4DC7BB" w14:textId="77777777" w:rsidR="008E1DEF" w:rsidRDefault="00000000">
      <w:pPr>
        <w:rPr>
          <w:rStyle w:val="Hyperkobling"/>
          <w:lang w:val="en-GB"/>
        </w:rPr>
      </w:pPr>
      <w:r>
        <w:rPr>
          <w:lang w:val="en-GB"/>
        </w:rPr>
        <w:t xml:space="preserve">OECD-DAC, 2020, </w:t>
      </w:r>
      <w:hyperlink r:id="rId22" w:history="1">
        <w:r>
          <w:rPr>
            <w:rStyle w:val="Hyperkobling"/>
            <w:lang w:val="en-GB"/>
          </w:rPr>
          <w:t>The OECD-DAC policy marker on the inclusion and empowerment of persons with disabilities: handbook for data reporters and users</w:t>
        </w:r>
      </w:hyperlink>
    </w:p>
    <w:p w14:paraId="74F4473E" w14:textId="7F9D3ED1" w:rsidR="008E1DEF" w:rsidRDefault="00000000">
      <w:pPr>
        <w:rPr>
          <w:rStyle w:val="Hyperkobling"/>
          <w:i/>
          <w:iCs/>
          <w:color w:val="auto"/>
          <w:u w:val="none"/>
          <w:lang w:val="en-GB"/>
        </w:rPr>
      </w:pPr>
      <w:proofErr w:type="spellStart"/>
      <w:r>
        <w:rPr>
          <w:lang w:val="en-GB"/>
        </w:rPr>
        <w:t>Center</w:t>
      </w:r>
      <w:proofErr w:type="spellEnd"/>
      <w:r>
        <w:rPr>
          <w:lang w:val="en-GB"/>
        </w:rPr>
        <w:t xml:space="preserve"> for Inclusive Policy, 2020, </w:t>
      </w:r>
      <w:hyperlink r:id="rId23" w:history="1">
        <w:r>
          <w:rPr>
            <w:rStyle w:val="Hyperkobling"/>
            <w:lang w:val="en-GB"/>
          </w:rPr>
          <w:t>Getting the data : how much does aid money support inclusion of persons with disabilities ?</w:t>
        </w:r>
      </w:hyperlink>
      <w:r>
        <w:rPr>
          <w:lang w:val="en-GB"/>
        </w:rPr>
        <w:t xml:space="preserve"> (</w:t>
      </w:r>
      <w:r>
        <w:rPr>
          <w:rStyle w:val="Hyperkobling"/>
          <w:i/>
          <w:iCs/>
          <w:color w:val="auto"/>
          <w:u w:val="none"/>
          <w:lang w:val="en-GB"/>
        </w:rPr>
        <w:t>Guide to accessing and preparing OECD-DAC disability inclusion policy marker data for analysis.)</w:t>
      </w:r>
    </w:p>
    <w:p w14:paraId="5A5E0E75" w14:textId="77777777" w:rsidR="008E1DEF" w:rsidRDefault="00000000">
      <w:pPr>
        <w:rPr>
          <w:i/>
          <w:iCs/>
          <w:lang w:val="en-GB"/>
        </w:rPr>
      </w:pPr>
      <w:r>
        <w:rPr>
          <w:lang w:val="en-GB"/>
        </w:rPr>
        <w:t xml:space="preserve">UN Women, 2022, </w:t>
      </w:r>
      <w:hyperlink r:id="rId24" w:history="1">
        <w:r>
          <w:rPr>
            <w:rStyle w:val="Hyperkobling"/>
            <w:lang w:val="en-GB"/>
          </w:rPr>
          <w:t xml:space="preserve">In </w:t>
        </w:r>
        <w:proofErr w:type="gramStart"/>
        <w:r>
          <w:rPr>
            <w:rStyle w:val="Hyperkobling"/>
            <w:lang w:val="en-GB"/>
          </w:rPr>
          <w:t>brief :</w:t>
        </w:r>
        <w:proofErr w:type="gramEnd"/>
        <w:r>
          <w:rPr>
            <w:rStyle w:val="Hyperkobling"/>
            <w:lang w:val="en-GB"/>
          </w:rPr>
          <w:t xml:space="preserve"> disability inclusion markers</w:t>
        </w:r>
      </w:hyperlink>
    </w:p>
    <w:p w14:paraId="655D7EEF" w14:textId="70E3A3D7" w:rsidR="008E1DEF" w:rsidRDefault="00000000">
      <w:pPr>
        <w:rPr>
          <w:rStyle w:val="Hyperkobling"/>
          <w:lang w:val="en-GB"/>
        </w:rPr>
      </w:pPr>
      <w:r>
        <w:rPr>
          <w:lang w:val="en-GB"/>
        </w:rPr>
        <w:t xml:space="preserve">European Disability Forum, 2022, </w:t>
      </w:r>
      <w:hyperlink r:id="rId25" w:history="1">
        <w:r>
          <w:rPr>
            <w:rStyle w:val="Hyperkobling"/>
            <w:lang w:val="en-GB"/>
          </w:rPr>
          <w:t>Annual report: EC spending on disability inclusion in global actions 2018-2020: analysis of data from the OECD-DAC disability policy marker</w:t>
        </w:r>
      </w:hyperlink>
    </w:p>
    <w:p w14:paraId="68116E1B" w14:textId="7E018764" w:rsidR="008E1DEF" w:rsidRDefault="00000000">
      <w:pPr>
        <w:rPr>
          <w:lang w:val="en-GB"/>
        </w:rPr>
      </w:pPr>
      <w:proofErr w:type="spellStart"/>
      <w:r>
        <w:rPr>
          <w:lang w:val="en-GB"/>
        </w:rPr>
        <w:t>Sightsavers</w:t>
      </w:r>
      <w:proofErr w:type="spellEnd"/>
      <w:r>
        <w:rPr>
          <w:lang w:val="en-GB"/>
        </w:rPr>
        <w:t>, OECD-DAC disability inclusion policy marker data visualisation, forthcoming</w:t>
      </w:r>
    </w:p>
    <w:p w14:paraId="4EDB8E42" w14:textId="42765B25" w:rsidR="008E1DEF" w:rsidRDefault="00000000">
      <w:pPr>
        <w:rPr>
          <w:lang w:val="en-GB"/>
        </w:rPr>
      </w:pPr>
      <w:r>
        <w:rPr>
          <w:lang w:val="en-GB"/>
        </w:rPr>
        <w:t xml:space="preserve">CBM Global and allies, quantitative and qualitative research on the OECD-DAC disability inclusion policy marker, forthcoming </w:t>
      </w:r>
    </w:p>
    <w:p w14:paraId="3102CF60" w14:textId="77777777" w:rsidR="008E1DEF" w:rsidRDefault="00000000">
      <w:pPr>
        <w:rPr>
          <w:rFonts w:asciiTheme="majorHAnsi" w:eastAsiaTheme="majorEastAsia" w:hAnsiTheme="majorHAnsi" w:cstheme="majorBidi"/>
          <w:color w:val="4472C4" w:themeColor="accent1"/>
          <w:sz w:val="28"/>
          <w:szCs w:val="26"/>
          <w:lang w:val="en-GB"/>
        </w:rPr>
      </w:pPr>
      <w:r>
        <w:rPr>
          <w:lang w:val="en-GB"/>
        </w:rPr>
        <w:br w:type="page"/>
      </w:r>
    </w:p>
    <w:p w14:paraId="519373D5" w14:textId="7874B9A4" w:rsidR="008E1DEF" w:rsidRDefault="00000000">
      <w:pPr>
        <w:pStyle w:val="Overskrift2"/>
      </w:pPr>
      <w:bookmarkStart w:id="15" w:name="_Toc129039832"/>
      <w:r>
        <w:lastRenderedPageBreak/>
        <w:t>Annex 2: Further issues to consider with respect to the recommendations in the mapping of efforts to include persons with disabilities in Norwegian development assistance</w:t>
      </w:r>
      <w:bookmarkEnd w:id="15"/>
    </w:p>
    <w:p w14:paraId="1BB0D17B" w14:textId="7E95D698" w:rsidR="008E1DEF" w:rsidRDefault="00000000">
      <w:pPr>
        <w:rPr>
          <w:lang w:val="en-GB"/>
        </w:rPr>
      </w:pPr>
      <w:r>
        <w:rPr>
          <w:lang w:val="en-GB"/>
        </w:rPr>
        <w:br/>
        <w:t xml:space="preserve">This annex considers in more detail some of the recommendations from Larsen and Nilsson’s mapping study on efforts to include persons with disabilities in Norwegian development assistance. As set out above, under opportunity 4, three of the main recommendations from the mapping study are: </w:t>
      </w:r>
    </w:p>
    <w:p w14:paraId="49731758" w14:textId="48F295A7" w:rsidR="008E1DEF" w:rsidRDefault="00000000">
      <w:pPr>
        <w:pStyle w:val="Listeavsnitt"/>
        <w:numPr>
          <w:ilvl w:val="0"/>
          <w:numId w:val="17"/>
        </w:numPr>
        <w:rPr>
          <w:lang w:val="en-GB"/>
        </w:rPr>
      </w:pPr>
      <w:r>
        <w:rPr>
          <w:lang w:val="en-GB"/>
        </w:rPr>
        <w:t xml:space="preserve">« Clarifying in more detail what should be the minimum qualifications for a “significant” disability focus in a project and how to code larger contracts such as country programmes and core support to partners, which contain many important and interesting disability components – without reaching a level of “significance” in the total programme/organisation. </w:t>
      </w:r>
    </w:p>
    <w:p w14:paraId="5F5360FC" w14:textId="77777777" w:rsidR="008E1DEF" w:rsidRDefault="00000000">
      <w:pPr>
        <w:pStyle w:val="Listeavsnitt"/>
        <w:numPr>
          <w:ilvl w:val="0"/>
          <w:numId w:val="17"/>
        </w:numPr>
        <w:rPr>
          <w:lang w:val="en-GB"/>
        </w:rPr>
      </w:pPr>
      <w:r>
        <w:rPr>
          <w:lang w:val="en-GB"/>
        </w:rPr>
        <w:t xml:space="preserve">Introducing an additional marker that captures “emerging/partly” disability focussed efforts. This would be a way to acknowledge that disability inclusion is a process. </w:t>
      </w:r>
    </w:p>
    <w:p w14:paraId="75F0876A" w14:textId="49950557" w:rsidR="008E1DEF" w:rsidRDefault="00000000">
      <w:pPr>
        <w:pStyle w:val="Listeavsnitt"/>
        <w:numPr>
          <w:ilvl w:val="0"/>
          <w:numId w:val="17"/>
        </w:numPr>
        <w:rPr>
          <w:lang w:val="en-GB"/>
        </w:rPr>
      </w:pPr>
      <w:r>
        <w:rPr>
          <w:lang w:val="en-GB"/>
        </w:rPr>
        <w:t>Providing guidance on what type of segregated initiatives that should be excluded, as some segregated initiatives might be beneficial and others harmful to inclusion. »</w:t>
      </w:r>
      <w:r>
        <w:rPr>
          <w:rStyle w:val="Fotnotereferanse"/>
          <w:lang w:val="en-GB"/>
        </w:rPr>
        <w:footnoteReference w:id="78"/>
      </w:r>
    </w:p>
    <w:p w14:paraId="3778AF08" w14:textId="71F5716C" w:rsidR="008E1DEF" w:rsidRDefault="00000000">
      <w:pPr>
        <w:rPr>
          <w:lang w:val="en-GB"/>
        </w:rPr>
      </w:pPr>
      <w:r>
        <w:rPr>
          <w:lang w:val="en-GB"/>
        </w:rPr>
        <w:t>Focusing particularly on recommendations (b) and (c),</w:t>
      </w:r>
      <w:r>
        <w:rPr>
          <w:rStyle w:val="Fotnotereferanse"/>
          <w:lang w:val="en-GB"/>
        </w:rPr>
        <w:footnoteReference w:id="79"/>
      </w:r>
      <w:r>
        <w:rPr>
          <w:lang w:val="en-GB"/>
        </w:rPr>
        <w:t xml:space="preserve"> this annex suggests some considerations and references that may be relevant if, sometime in the future, these recommendations are put out for more extensive consultation. The considerations focus on:</w:t>
      </w:r>
    </w:p>
    <w:p w14:paraId="27E8C95C" w14:textId="19E03562" w:rsidR="008E1DEF" w:rsidRDefault="00000000">
      <w:pPr>
        <w:pStyle w:val="Listeavsnitt"/>
        <w:numPr>
          <w:ilvl w:val="0"/>
          <w:numId w:val="21"/>
        </w:numPr>
        <w:rPr>
          <w:lang w:val="en-GB"/>
        </w:rPr>
      </w:pPr>
      <w:r>
        <w:rPr>
          <w:lang w:val="en-GB"/>
        </w:rPr>
        <w:t>Whether the recommendations are likely to help in monitoring spending that promotes the inclusion of persons with disabilities</w:t>
      </w:r>
    </w:p>
    <w:p w14:paraId="335FEA71" w14:textId="0FACC4EC" w:rsidR="008E1DEF" w:rsidRDefault="00000000">
      <w:pPr>
        <w:pStyle w:val="Listeavsnitt"/>
        <w:numPr>
          <w:ilvl w:val="0"/>
          <w:numId w:val="21"/>
        </w:numPr>
        <w:rPr>
          <w:lang w:val="en-GB"/>
        </w:rPr>
      </w:pPr>
      <w:r>
        <w:rPr>
          <w:lang w:val="en-GB"/>
        </w:rPr>
        <w:t>Whether the recommendations are compatible with the OECD-DAC’s wider policy marker system; and</w:t>
      </w:r>
    </w:p>
    <w:p w14:paraId="59DC6FA6" w14:textId="411E05AB" w:rsidR="008E1DEF" w:rsidRDefault="00000000">
      <w:pPr>
        <w:pStyle w:val="Listeavsnitt"/>
        <w:numPr>
          <w:ilvl w:val="0"/>
          <w:numId w:val="21"/>
        </w:numPr>
        <w:rPr>
          <w:lang w:val="en-GB"/>
        </w:rPr>
      </w:pPr>
      <w:r>
        <w:rPr>
          <w:lang w:val="en-GB"/>
        </w:rPr>
        <w:t>Whether alternative or modified options exist, which could address some of the underlying issues that the recommendations seek to tackle</w:t>
      </w:r>
    </w:p>
    <w:p w14:paraId="0276BFEE" w14:textId="6E155925" w:rsidR="008E1DEF" w:rsidRDefault="00000000">
      <w:pPr>
        <w:rPr>
          <w:lang w:val="en-GB"/>
        </w:rPr>
      </w:pPr>
      <w:r>
        <w:rPr>
          <w:lang w:val="en-GB"/>
        </w:rPr>
        <w:t>The discussion in this annex is also informed by the author’s communications to-date on these issues with organisations of persons with disabilities, both in the context of this project and in the context of previous work. (However, it is recognised that such communications are by no means sufficient to be representative of views across the global disability movement, and – as recommended in the main text of this report – further much more extensive consultation would be needed).</w:t>
      </w:r>
    </w:p>
    <w:p w14:paraId="4409DA5A" w14:textId="21AB02B3" w:rsidR="008E1DEF" w:rsidRDefault="00000000">
      <w:pPr>
        <w:pStyle w:val="Overskrift4"/>
        <w:rPr>
          <w:lang w:val="en-GB"/>
        </w:rPr>
      </w:pPr>
      <w:r>
        <w:rPr>
          <w:lang w:val="en-GB"/>
        </w:rPr>
        <w:t xml:space="preserve">Recommendation (b): Introducing an additional marker that captures “emerging/partly” disability focussed efforts </w:t>
      </w:r>
    </w:p>
    <w:p w14:paraId="56073668" w14:textId="0798B11D" w:rsidR="008E1DEF" w:rsidRDefault="00000000">
      <w:pPr>
        <w:pStyle w:val="Overskrift5"/>
        <w:numPr>
          <w:ilvl w:val="0"/>
          <w:numId w:val="28"/>
        </w:numPr>
        <w:rPr>
          <w:lang w:val="en-GB"/>
        </w:rPr>
      </w:pPr>
      <w:r>
        <w:rPr>
          <w:lang w:val="en-GB"/>
        </w:rPr>
        <w:t>Is this recommendation likely to help in monitoring spending that promotes the inclusion of persons with disabilities?</w:t>
      </w:r>
    </w:p>
    <w:p w14:paraId="7CB120F5" w14:textId="56CBA8CC" w:rsidR="008E1DEF" w:rsidRDefault="00000000">
      <w:pPr>
        <w:rPr>
          <w:lang w:val="en-GB"/>
        </w:rPr>
      </w:pPr>
      <w:r>
        <w:rPr>
          <w:lang w:val="en-GB"/>
        </w:rPr>
        <w:t xml:space="preserve">It is sometimes argued that introducing an additional marker score, to capture partial efforts towards the inclusion of persons with disabilities, can be a way to recognise and encourage early </w:t>
      </w:r>
      <w:r>
        <w:rPr>
          <w:lang w:val="en-GB"/>
        </w:rPr>
        <w:lastRenderedPageBreak/>
        <w:t>progress, which may then develop into something more substantial and fully compliant with the UN Convention on the Rights of Persons with Disabilities.</w:t>
      </w:r>
      <w:r>
        <w:rPr>
          <w:rStyle w:val="Fotnotereferanse"/>
          <w:lang w:val="en-GB"/>
        </w:rPr>
        <w:footnoteReference w:id="80"/>
      </w:r>
      <w:r>
        <w:rPr>
          <w:lang w:val="en-GB"/>
        </w:rPr>
        <w:t xml:space="preserve"> Some existing marker systems take this approach – notably the gender markers generally used by UN entities.</w:t>
      </w:r>
      <w:r>
        <w:rPr>
          <w:rStyle w:val="Fotnotereferanse"/>
          <w:lang w:val="en-GB"/>
        </w:rPr>
        <w:footnoteReference w:id="81"/>
      </w:r>
    </w:p>
    <w:p w14:paraId="4437C2F4" w14:textId="6E78493B" w:rsidR="008E1DEF" w:rsidRDefault="00000000">
      <w:pPr>
        <w:rPr>
          <w:lang w:val="en-GB"/>
        </w:rPr>
      </w:pPr>
      <w:r>
        <w:rPr>
          <w:lang w:val="en-GB"/>
        </w:rPr>
        <w:t xml:space="preserve">However, introducing an additional marker score could also risk weakening the marker’s function as a tool for monitoring spending to promote the inclusion of persons with disabilities. </w:t>
      </w:r>
    </w:p>
    <w:p w14:paraId="68596A46" w14:textId="0F3C6A7A" w:rsidR="008E1DEF" w:rsidRDefault="00000000">
      <w:pPr>
        <w:rPr>
          <w:lang w:val="en-GB"/>
        </w:rPr>
      </w:pPr>
      <w:r>
        <w:rPr>
          <w:lang w:val="en-GB"/>
        </w:rPr>
        <w:t>As discussed briefly under opportunity 4 above, the threshold for a marker score of “significant” is already low compared to the standards set out in the UN Convention on the Rights of Persons with Disabilities or the standards used for the OECD-DAC’s own gender equality policy marker. The UK’s Independent Commission on Aid Impact highlighted that the threshold is arguably less ambitious than that used by the Australian Department of Foreign Affairs and Trade in its complementary ‘Aid Quality Check’ system.</w:t>
      </w:r>
      <w:r>
        <w:rPr>
          <w:rStyle w:val="Fotnotereferanse"/>
          <w:lang w:val="en-GB"/>
        </w:rPr>
        <w:footnoteReference w:id="82"/>
      </w:r>
      <w:r>
        <w:rPr>
          <w:lang w:val="en-GB"/>
        </w:rPr>
        <w:t xml:space="preserve"> Similarly a report from the German Institute for Human Rights took the view that scores of “significant” should not be awarded unless the disability inclusion objective is mainstreamed across their entirety of a project</w:t>
      </w:r>
      <w:r>
        <w:rPr>
          <w:rStyle w:val="Fotnotereferanse"/>
          <w:lang w:val="en-GB"/>
        </w:rPr>
        <w:footnoteReference w:id="83"/>
      </w:r>
      <w:r>
        <w:rPr>
          <w:lang w:val="en-GB"/>
        </w:rPr>
        <w:t xml:space="preserve"> - a more stringent threshold than the OECD-DAC’s criteria currently specify. </w:t>
      </w:r>
    </w:p>
    <w:p w14:paraId="28737CAB" w14:textId="29B9B982" w:rsidR="008E1DEF" w:rsidRDefault="00000000">
      <w:pPr>
        <w:rPr>
          <w:lang w:val="en-GB"/>
        </w:rPr>
      </w:pPr>
      <w:r>
        <w:rPr>
          <w:lang w:val="en-GB"/>
        </w:rPr>
        <w:t xml:space="preserve">If the standards for a “significant” score are unambitious, this means a project that does not meet even these standards must have very substantial gaps in its approach to the inclusion of persons with disabilities. Even if project activities show some potential to develop into more inclusive efforts in future, or even if large non-inclusive components are combined with some smaller, inclusive sub-projects, the project taken </w:t>
      </w:r>
      <w:proofErr w:type="gramStart"/>
      <w:r>
        <w:rPr>
          <w:lang w:val="en-GB"/>
        </w:rPr>
        <w:t>as a whole must</w:t>
      </w:r>
      <w:proofErr w:type="gramEnd"/>
      <w:r>
        <w:rPr>
          <w:lang w:val="en-GB"/>
        </w:rPr>
        <w:t xml:space="preserve"> be far from complying with the UN Convention on the Rights of Persons with Disabilities. This does not just mean that persons with disabilities are missing out on project benefits: it means that the project risks</w:t>
      </w:r>
      <w:r>
        <w:rPr>
          <w:b/>
          <w:bCs/>
          <w:lang w:val="en-GB"/>
        </w:rPr>
        <w:t xml:space="preserve"> pushing persons with disabilities further behind</w:t>
      </w:r>
      <w:r>
        <w:rPr>
          <w:lang w:val="en-GB"/>
        </w:rPr>
        <w:t xml:space="preserve"> the rest of the population than if the project had not taken place.</w:t>
      </w:r>
      <w:r>
        <w:rPr>
          <w:rStyle w:val="Fotnotereferanse"/>
          <w:lang w:val="en-GB"/>
        </w:rPr>
        <w:footnoteReference w:id="84"/>
      </w:r>
    </w:p>
    <w:p w14:paraId="75013908" w14:textId="0720989D" w:rsidR="008E1DEF" w:rsidRDefault="00000000">
      <w:pPr>
        <w:rPr>
          <w:lang w:val="en-GB"/>
        </w:rPr>
      </w:pPr>
      <w:r>
        <w:rPr>
          <w:lang w:val="en-GB"/>
        </w:rPr>
        <w:t xml:space="preserve">Rewarding such projects with a positive score on the marker seems to risk confusing the link between positive marker scores and the promotion of disability inclusion. And this in turn may make it harder for users of marker data to interpret the results, as the following example illustrates. It is likely that, for many OECD-DAC members, a substantial share of projects might meet the criteria for an « emerging » score on the </w:t>
      </w:r>
      <w:proofErr w:type="gramStart"/>
      <w:r>
        <w:rPr>
          <w:lang w:val="en-GB"/>
        </w:rPr>
        <w:t>marker, since</w:t>
      </w:r>
      <w:proofErr w:type="gramEnd"/>
      <w:r>
        <w:rPr>
          <w:lang w:val="en-GB"/>
        </w:rPr>
        <w:t xml:space="preserve"> these criteria would be relatively modest. This could then lead to a situation where the majority of an OECD-DAC member’s projects appear to have a positive marker score of some sort – whether « principal », « significant » or « emerging ». If a non-specialist reader sees these results, they might superficially look reassuring. Whereas under the old marker system, it would be clear that </w:t>
      </w:r>
      <w:proofErr w:type="gramStart"/>
      <w:r>
        <w:rPr>
          <w:lang w:val="en-GB"/>
        </w:rPr>
        <w:t>the majority of</w:t>
      </w:r>
      <w:proofErr w:type="gramEnd"/>
      <w:r>
        <w:rPr>
          <w:lang w:val="en-GB"/>
        </w:rPr>
        <w:t xml:space="preserve"> projects have very substantial gaps to address, following the introduction of an « emerging » marker, it could appear that the majority of projects are broadly on the right track, albeit with some progress still to be made – distracting from the urgency of the situation.  </w:t>
      </w:r>
    </w:p>
    <w:p w14:paraId="5FE573EE" w14:textId="77777777" w:rsidR="008E1DEF" w:rsidRDefault="00000000">
      <w:pPr>
        <w:rPr>
          <w:lang w:val="en-GB"/>
        </w:rPr>
      </w:pPr>
      <w:r>
        <w:rPr>
          <w:lang w:val="en-GB"/>
        </w:rPr>
        <w:lastRenderedPageBreak/>
        <w:t xml:space="preserve">Figure 4 below illustrates how results from the UN’s gender marker could risk giving this impression. From a quick look at the chart, an observer might draw the conclusion that only a very small percentage of projects are cause for concern, whereas </w:t>
      </w:r>
      <w:proofErr w:type="gramStart"/>
      <w:r>
        <w:rPr>
          <w:lang w:val="en-GB"/>
        </w:rPr>
        <w:t>actually over</w:t>
      </w:r>
      <w:proofErr w:type="gramEnd"/>
      <w:r>
        <w:rPr>
          <w:lang w:val="en-GB"/>
        </w:rPr>
        <w:t xml:space="preserve"> 25% of projects fail to meet the minimum criteria for a « significant » score.</w:t>
      </w:r>
      <w:r>
        <w:rPr>
          <w:rStyle w:val="Fotnotereferanse"/>
          <w:lang w:val="en-GB"/>
        </w:rPr>
        <w:footnoteReference w:id="85"/>
      </w:r>
      <w:r>
        <w:rPr>
          <w:lang w:val="en-GB"/>
        </w:rPr>
        <w:t xml:space="preserve"> </w:t>
      </w:r>
    </w:p>
    <w:p w14:paraId="76631898" w14:textId="0E1C2528" w:rsidR="008E1DEF" w:rsidRDefault="00000000">
      <w:pPr>
        <w:rPr>
          <w:b/>
          <w:bCs/>
          <w:lang w:val="en-GB"/>
        </w:rPr>
      </w:pPr>
      <w:r>
        <w:rPr>
          <w:b/>
          <w:bCs/>
          <w:lang w:val="en-GB"/>
        </w:rPr>
        <w:t xml:space="preserve">Figure </w:t>
      </w:r>
      <w:proofErr w:type="gramStart"/>
      <w:r>
        <w:rPr>
          <w:b/>
          <w:bCs/>
          <w:lang w:val="en-GB"/>
        </w:rPr>
        <w:t>4 :</w:t>
      </w:r>
      <w:proofErr w:type="gramEnd"/>
      <w:r>
        <w:rPr>
          <w:b/>
          <w:bCs/>
          <w:lang w:val="en-GB"/>
        </w:rPr>
        <w:t xml:space="preserve"> Example breakdown of an organisation ‘s scores using the UN’s gender equality marker</w:t>
      </w:r>
    </w:p>
    <w:p w14:paraId="14811C37" w14:textId="04DBA6CD" w:rsidR="008E1DEF" w:rsidRDefault="00000000">
      <w:pPr>
        <w:rPr>
          <w:b/>
          <w:bCs/>
          <w:lang w:val="en-GB"/>
        </w:rPr>
      </w:pPr>
      <w:r>
        <w:rPr>
          <w:b/>
          <w:bCs/>
          <w:noProof/>
          <w:lang w:val="en-GB"/>
        </w:rPr>
        <w:drawing>
          <wp:inline distT="0" distB="0" distL="0" distR="0" wp14:anchorId="799AC7BB" wp14:editId="73AE3FFA">
            <wp:extent cx="5731510" cy="4030345"/>
            <wp:effectExtent l="0" t="0" r="2540" b="8255"/>
            <wp:docPr id="5" name="Picture 5" descr="A pie chart showing results against the UN's four-tier gender equality marker. Around 25% of projects make a &quot;principal contribution&quot; to gender equality. Around 45% make a &quot;significant contribution&quot;. Around a further 25% make a &quot;limited contribution&quot;. This leaves only around 5% that make &quot;no contribu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e chart showing results against the UN's four-tier gender equality marker. Around 25% of projects make a &quot;principal contribution&quot; to gender equality. Around 45% make a &quot;significant contribution&quot;. Around a further 25% make a &quot;limited contribution&quot;. This leaves only around 5% that make &quot;no contribution&quot;."/>
                    <pic:cNvPicPr/>
                  </pic:nvPicPr>
                  <pic:blipFill>
                    <a:blip r:embed="rId26">
                      <a:extLst>
                        <a:ext uri="{28A0092B-C50C-407E-A947-70E740481C1C}">
                          <a14:useLocalDpi xmlns:a14="http://schemas.microsoft.com/office/drawing/2010/main" val="0"/>
                        </a:ext>
                      </a:extLst>
                    </a:blip>
                    <a:stretch>
                      <a:fillRect/>
                    </a:stretch>
                  </pic:blipFill>
                  <pic:spPr>
                    <a:xfrm>
                      <a:off x="0" y="0"/>
                      <a:ext cx="5731510" cy="4030345"/>
                    </a:xfrm>
                    <a:prstGeom prst="rect">
                      <a:avLst/>
                    </a:prstGeom>
                  </pic:spPr>
                </pic:pic>
              </a:graphicData>
            </a:graphic>
          </wp:inline>
        </w:drawing>
      </w:r>
    </w:p>
    <w:p w14:paraId="1DA39DDC" w14:textId="14630526" w:rsidR="008E1DEF" w:rsidRDefault="00000000">
      <w:pPr>
        <w:rPr>
          <w:sz w:val="20"/>
          <w:szCs w:val="20"/>
          <w:lang w:val="en-GB"/>
        </w:rPr>
      </w:pPr>
      <w:r>
        <w:rPr>
          <w:sz w:val="20"/>
          <w:szCs w:val="20"/>
          <w:lang w:val="en-GB"/>
        </w:rPr>
        <w:t xml:space="preserve">Source : UN Sustainable Development Group, 2019, </w:t>
      </w:r>
      <w:hyperlink r:id="rId27" w:history="1">
        <w:proofErr w:type="spellStart"/>
        <w:r>
          <w:rPr>
            <w:rStyle w:val="Hyperkobling"/>
            <w:sz w:val="20"/>
            <w:szCs w:val="20"/>
            <w:lang w:val="en-GB"/>
          </w:rPr>
          <w:t>UNCT</w:t>
        </w:r>
        <w:proofErr w:type="spellEnd"/>
        <w:r>
          <w:rPr>
            <w:rStyle w:val="Hyperkobling"/>
            <w:sz w:val="20"/>
            <w:szCs w:val="20"/>
            <w:lang w:val="en-GB"/>
          </w:rPr>
          <w:t xml:space="preserve"> gender equality marker guidance note</w:t>
        </w:r>
      </w:hyperlink>
      <w:r>
        <w:rPr>
          <w:sz w:val="20"/>
          <w:szCs w:val="20"/>
          <w:lang w:val="en-GB"/>
        </w:rPr>
        <w:t>, p.7</w:t>
      </w:r>
    </w:p>
    <w:p w14:paraId="5AA5A5BB" w14:textId="73DF63EF" w:rsidR="008E1DEF" w:rsidRDefault="00000000">
      <w:pPr>
        <w:rPr>
          <w:lang w:val="en-GB"/>
        </w:rPr>
      </w:pPr>
      <w:r>
        <w:rPr>
          <w:lang w:val="en-GB"/>
        </w:rPr>
        <w:t>In contrast, if there is no « emerging » score – just a clear distinction between projects that have disability inclusion as a principal or significant objective on the one hand, and projects that do not have significant objectives on disability inclusion on the other hand – it can be much easier for an observer quickly to take stock of gaps in an organisation’s progress towards making its programming disability-inclusive. Figure 5 gives an example of a chart from a recent report by the European Disability Forum, illustrating the European Commission’s reported results against the disability inclusion policy marker in 2020.</w:t>
      </w:r>
    </w:p>
    <w:p w14:paraId="2E85610E" w14:textId="77777777" w:rsidR="008E1DEF" w:rsidRDefault="008E1DEF">
      <w:pPr>
        <w:rPr>
          <w:lang w:val="en-GB"/>
        </w:rPr>
      </w:pPr>
    </w:p>
    <w:p w14:paraId="69C89326" w14:textId="7F02BEDD" w:rsidR="008E1DEF" w:rsidRDefault="00000000">
      <w:pPr>
        <w:rPr>
          <w:lang w:val="en-GB"/>
        </w:rPr>
      </w:pPr>
      <w:r>
        <w:rPr>
          <w:lang w:val="en-GB"/>
        </w:rPr>
        <w:br w:type="page"/>
      </w:r>
    </w:p>
    <w:p w14:paraId="266B37FC" w14:textId="2EECE70B" w:rsidR="008E1DEF" w:rsidRDefault="00000000">
      <w:pPr>
        <w:rPr>
          <w:b/>
          <w:bCs/>
          <w:lang w:val="en-GB"/>
        </w:rPr>
      </w:pPr>
      <w:r>
        <w:rPr>
          <w:b/>
          <w:bCs/>
          <w:lang w:val="en-GB"/>
        </w:rPr>
        <w:lastRenderedPageBreak/>
        <w:t xml:space="preserve">Figure </w:t>
      </w:r>
      <w:proofErr w:type="gramStart"/>
      <w:r>
        <w:rPr>
          <w:b/>
          <w:bCs/>
          <w:lang w:val="en-GB"/>
        </w:rPr>
        <w:t>5 :</w:t>
      </w:r>
      <w:proofErr w:type="gramEnd"/>
      <w:r>
        <w:rPr>
          <w:b/>
          <w:bCs/>
          <w:lang w:val="en-GB"/>
        </w:rPr>
        <w:t xml:space="preserve"> Percentage of allocable European Commission ODA projects with objectives on the inclusion of persons with disabilities in 2020</w:t>
      </w:r>
    </w:p>
    <w:p w14:paraId="2761185A" w14:textId="10FD4077" w:rsidR="008E1DEF" w:rsidRDefault="00000000">
      <w:pPr>
        <w:rPr>
          <w:b/>
          <w:bCs/>
          <w:lang w:val="en-GB"/>
        </w:rPr>
      </w:pPr>
      <w:r>
        <w:rPr>
          <w:noProof/>
          <w:lang w:val="en-GB"/>
        </w:rPr>
        <w:drawing>
          <wp:inline distT="0" distB="0" distL="0" distR="0" wp14:anchorId="5E9EDC09" wp14:editId="29811ABA">
            <wp:extent cx="5032375" cy="3444875"/>
            <wp:effectExtent l="0" t="0" r="15875" b="3175"/>
            <wp:docPr id="6" name="Chart 6" descr="The pie chart compares the percentage of projects that had objectives on disability inclusion with those that did not. The large majority (over five sixths) of the pie chart is shaded in a single colour, representing the large majority of projects that did not have objectives on the inclusion of persons with disabilities.">
              <a:extLst xmlns:a="http://schemas.openxmlformats.org/drawingml/2006/main">
                <a:ext uri="{FF2B5EF4-FFF2-40B4-BE49-F238E27FC236}">
                  <a16:creationId xmlns:a16="http://schemas.microsoft.com/office/drawing/2014/main" id="{B664F77B-4B80-DBD0-D42E-8331E26806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C9F883F" w14:textId="0B5A2590" w:rsidR="008E1DEF" w:rsidRDefault="00000000">
      <w:pPr>
        <w:pStyle w:val="Fotnotetekst"/>
        <w:rPr>
          <w:lang w:val="en-GB"/>
        </w:rPr>
      </w:pPr>
      <w:r>
        <w:rPr>
          <w:lang w:val="en-GB"/>
        </w:rPr>
        <w:t xml:space="preserve">Source : European Disability Forum, 2022, </w:t>
      </w:r>
      <w:hyperlink r:id="rId29" w:history="1">
        <w:r>
          <w:rPr>
            <w:rStyle w:val="Hyperkobling"/>
            <w:lang w:val="en-GB"/>
          </w:rPr>
          <w:t>Annual report : EC spending on disability inclusion in global actions, 2018-2020</w:t>
        </w:r>
      </w:hyperlink>
      <w:r>
        <w:rPr>
          <w:lang w:val="en-GB"/>
        </w:rPr>
        <w:t xml:space="preserve">, p.9. The chart is based on allocable ODA project commitments in 2020, analysed by the number of projects given scores 1 or 2 (“objective[s] on disability inclusion”) or given score 0 (“no objectives on disability inclusion”). </w:t>
      </w:r>
    </w:p>
    <w:p w14:paraId="627289C2" w14:textId="3F3AB799" w:rsidR="008E1DEF" w:rsidRDefault="008E1DEF">
      <w:pPr>
        <w:rPr>
          <w:lang w:val="en-GB"/>
        </w:rPr>
      </w:pPr>
    </w:p>
    <w:p w14:paraId="73360285" w14:textId="01726989" w:rsidR="008E1DEF" w:rsidRDefault="00000000">
      <w:pPr>
        <w:pStyle w:val="Overskrift5"/>
        <w:numPr>
          <w:ilvl w:val="0"/>
          <w:numId w:val="28"/>
        </w:numPr>
        <w:rPr>
          <w:lang w:val="en-GB"/>
        </w:rPr>
      </w:pPr>
      <w:r>
        <w:rPr>
          <w:lang w:val="en-GB"/>
        </w:rPr>
        <w:t>Is the recommendation compatible with the OECD-DAC’s wider policy marker system?</w:t>
      </w:r>
    </w:p>
    <w:p w14:paraId="26C9E053" w14:textId="01C7CA9B" w:rsidR="008E1DEF" w:rsidRDefault="00000000">
      <w:pPr>
        <w:rPr>
          <w:lang w:val="en-GB"/>
        </w:rPr>
      </w:pPr>
      <w:r>
        <w:rPr>
          <w:lang w:val="en-GB"/>
        </w:rPr>
        <w:t>The disability inclusion policy marker is one of a wider system of twelve policy markers within the OECD-DAC Creditor Reporting System database. Most of the markers have been in place for longer than the disability inclusion marker, and – unlike the disability inclusion marker – most have mandatory status.</w:t>
      </w:r>
      <w:r>
        <w:rPr>
          <w:rStyle w:val="Fotnotereferanse"/>
          <w:lang w:val="en-GB"/>
        </w:rPr>
        <w:footnoteReference w:id="86"/>
      </w:r>
    </w:p>
    <w:p w14:paraId="46CF1219" w14:textId="3962A726" w:rsidR="008E1DEF" w:rsidRDefault="00000000">
      <w:pPr>
        <w:rPr>
          <w:lang w:val="en-GB"/>
        </w:rPr>
      </w:pPr>
      <w:r>
        <w:rPr>
          <w:lang w:val="en-GB"/>
        </w:rPr>
        <w:t xml:space="preserve">These markers all use the same scoring system as the disability inclusion policy marker – </w:t>
      </w:r>
      <w:proofErr w:type="gramStart"/>
      <w:r>
        <w:rPr>
          <w:lang w:val="en-GB"/>
        </w:rPr>
        <w:t>i.e.</w:t>
      </w:r>
      <w:proofErr w:type="gramEnd"/>
      <w:r>
        <w:rPr>
          <w:lang w:val="en-GB"/>
        </w:rPr>
        <w:t xml:space="preserve"> a system of three tiers, corresponding to “principal”, “significant” and “not targeted”. Previous attempts to introduce additional tiers to the scoring system have not been considered successful.</w:t>
      </w:r>
      <w:r>
        <w:rPr>
          <w:rStyle w:val="Fotnotereferanse"/>
          <w:lang w:val="en-GB"/>
        </w:rPr>
        <w:footnoteReference w:id="87"/>
      </w:r>
    </w:p>
    <w:p w14:paraId="54B9066B" w14:textId="7E683E83" w:rsidR="008E1DEF" w:rsidRDefault="00000000">
      <w:pPr>
        <w:rPr>
          <w:lang w:val="en-GB"/>
        </w:rPr>
      </w:pPr>
      <w:r>
        <w:rPr>
          <w:lang w:val="en-GB"/>
        </w:rPr>
        <w:t xml:space="preserve">It is true that the OECD-DAC is open to the possibility of revising its standard scoring system, potentially with a view to showing more </w:t>
      </w:r>
      <w:proofErr w:type="spellStart"/>
      <w:r>
        <w:rPr>
          <w:lang w:val="en-GB"/>
        </w:rPr>
        <w:t>cleary</w:t>
      </w:r>
      <w:proofErr w:type="spellEnd"/>
      <w:r>
        <w:rPr>
          <w:lang w:val="en-GB"/>
        </w:rPr>
        <w:t xml:space="preserve"> the percentage of project spending devoted to a particular objective (see also discussion under point [iii] below).</w:t>
      </w:r>
      <w:r>
        <w:rPr>
          <w:rStyle w:val="Fotnotereferanse"/>
          <w:lang w:val="en-GB"/>
        </w:rPr>
        <w:footnoteReference w:id="88"/>
      </w:r>
      <w:r>
        <w:rPr>
          <w:lang w:val="en-GB"/>
        </w:rPr>
        <w:t xml:space="preserve"> However, in a context where uptake of the disability inclusion policy marker is still relatively low and some OECD-DAC members </w:t>
      </w:r>
      <w:r>
        <w:rPr>
          <w:lang w:val="en-GB"/>
        </w:rPr>
        <w:lastRenderedPageBreak/>
        <w:t>are express[</w:t>
      </w:r>
      <w:proofErr w:type="spellStart"/>
      <w:r>
        <w:rPr>
          <w:lang w:val="en-GB"/>
        </w:rPr>
        <w:t>ing</w:t>
      </w:r>
      <w:proofErr w:type="spellEnd"/>
      <w:r>
        <w:rPr>
          <w:lang w:val="en-GB"/>
        </w:rPr>
        <w:t>] concerns over the reporting burden”,</w:t>
      </w:r>
      <w:r>
        <w:rPr>
          <w:rStyle w:val="Fotnotereferanse"/>
          <w:lang w:val="en-GB"/>
        </w:rPr>
        <w:footnoteReference w:id="89"/>
      </w:r>
      <w:r>
        <w:rPr>
          <w:lang w:val="en-GB"/>
        </w:rPr>
        <w:t xml:space="preserve"> it seems unlikely in the short term at least that the OECD-DAC would consider making an exception to its standard scoring system for the disability inclusion policy marker.  </w:t>
      </w:r>
    </w:p>
    <w:p w14:paraId="3DDE8EEA" w14:textId="69F10230" w:rsidR="008E1DEF" w:rsidRDefault="00000000">
      <w:pPr>
        <w:pStyle w:val="Overskrift5"/>
        <w:numPr>
          <w:ilvl w:val="0"/>
          <w:numId w:val="28"/>
        </w:numPr>
        <w:rPr>
          <w:lang w:val="en-GB"/>
        </w:rPr>
      </w:pPr>
      <w:r>
        <w:rPr>
          <w:lang w:val="en-GB"/>
        </w:rPr>
        <w:t>Do alternative or modified options exist, which could address some of the underlying issues that the recommendations seek to tackle?</w:t>
      </w:r>
    </w:p>
    <w:p w14:paraId="66E13D96" w14:textId="3ED23E70" w:rsidR="008E1DEF" w:rsidRDefault="00000000">
      <w:pPr>
        <w:rPr>
          <w:lang w:val="en-GB"/>
        </w:rPr>
      </w:pPr>
      <w:r>
        <w:rPr>
          <w:lang w:val="en-GB"/>
        </w:rPr>
        <w:t xml:space="preserve">One of the issues underlying the mapping study’s recommendation (b) – </w:t>
      </w:r>
      <w:proofErr w:type="gramStart"/>
      <w:r>
        <w:rPr>
          <w:lang w:val="en-GB"/>
        </w:rPr>
        <w:t>and also</w:t>
      </w:r>
      <w:proofErr w:type="gramEnd"/>
      <w:r>
        <w:rPr>
          <w:lang w:val="en-GB"/>
        </w:rPr>
        <w:t xml:space="preserve"> parts of recommendation (a) – is that there is currently no way systematically to capture projects with only a small element of disability-inclusive activity in </w:t>
      </w:r>
      <w:proofErr w:type="spellStart"/>
      <w:r>
        <w:rPr>
          <w:lang w:val="en-GB"/>
        </w:rPr>
        <w:t>Norad’s</w:t>
      </w:r>
      <w:proofErr w:type="spellEnd"/>
      <w:r>
        <w:rPr>
          <w:lang w:val="en-GB"/>
        </w:rPr>
        <w:t xml:space="preserve"> existing management information systems. </w:t>
      </w:r>
    </w:p>
    <w:p w14:paraId="34F4958A" w14:textId="1C0E3107" w:rsidR="008E1DEF" w:rsidRDefault="00000000">
      <w:pPr>
        <w:rPr>
          <w:lang w:val="en-GB"/>
        </w:rPr>
      </w:pPr>
      <w:r>
        <w:rPr>
          <w:lang w:val="en-GB"/>
        </w:rPr>
        <w:t>At the same time, as noted in the discussion of opportunity 2 above, one of the limitations of the disability inclusion policy marker is that marker data do not translate straightforwardly into granular data on the share of project budgets that contributed directly to the inclusion of persons with disabilities: this would require alternative reporting tools.</w:t>
      </w:r>
    </w:p>
    <w:p w14:paraId="55C048A5" w14:textId="46243A0F" w:rsidR="008E1DEF" w:rsidRDefault="00000000">
      <w:pPr>
        <w:rPr>
          <w:lang w:val="en-GB"/>
        </w:rPr>
      </w:pPr>
      <w:r>
        <w:rPr>
          <w:lang w:val="en-GB"/>
        </w:rPr>
        <w:t xml:space="preserve">An option that would (at least partially) address </w:t>
      </w:r>
      <w:proofErr w:type="gramStart"/>
      <w:r>
        <w:rPr>
          <w:lang w:val="en-GB"/>
        </w:rPr>
        <w:t>both of these</w:t>
      </w:r>
      <w:proofErr w:type="gramEnd"/>
      <w:r>
        <w:rPr>
          <w:lang w:val="en-GB"/>
        </w:rPr>
        <w:t xml:space="preserve"> challenges simultaneously would be to explore </w:t>
      </w:r>
      <w:r>
        <w:rPr>
          <w:b/>
          <w:bCs/>
          <w:lang w:val="en-GB"/>
        </w:rPr>
        <w:t>developing more granular tools for tracking individual budget lines</w:t>
      </w:r>
      <w:r>
        <w:rPr>
          <w:lang w:val="en-GB"/>
        </w:rPr>
        <w:t xml:space="preserve"> that aim to promote the inclusion of persons with disabilities – a much more granular level of information than the disability inclusion policy marker offers.</w:t>
      </w:r>
    </w:p>
    <w:p w14:paraId="76D41D59" w14:textId="71D4507D" w:rsidR="008E1DEF" w:rsidRDefault="00000000">
      <w:pPr>
        <w:rPr>
          <w:lang w:val="en-GB"/>
        </w:rPr>
      </w:pPr>
      <w:r>
        <w:rPr>
          <w:lang w:val="en-GB"/>
        </w:rPr>
        <w:t xml:space="preserve">Not only would such an initiative allow much more detailed insights on investments in disability inclusion. It would also help to capture projects with only a small element of disability-inclusive activity. For example, if a large-scale project did not have a significant objective on the inclusion of persons with </w:t>
      </w:r>
      <w:proofErr w:type="gramStart"/>
      <w:r>
        <w:rPr>
          <w:lang w:val="en-GB"/>
        </w:rPr>
        <w:t>disabilities, but</w:t>
      </w:r>
      <w:proofErr w:type="gramEnd"/>
      <w:r>
        <w:rPr>
          <w:lang w:val="en-GB"/>
        </w:rPr>
        <w:t xml:space="preserve"> included one sub-grant to an organisation of persons with disabilities, this sub</w:t>
      </w:r>
      <w:r>
        <w:rPr>
          <w:lang w:val="en-GB"/>
        </w:rPr>
        <w:softHyphen/>
        <w:t>-grant would now show up under the budget tracking tool, even though the project as a whole would not qualify for a positive score under the disability inclusion policy marker.</w:t>
      </w:r>
      <w:r>
        <w:rPr>
          <w:rStyle w:val="Fotnotereferanse"/>
          <w:lang w:val="en-GB"/>
        </w:rPr>
        <w:footnoteReference w:id="90"/>
      </w:r>
    </w:p>
    <w:p w14:paraId="63254682" w14:textId="1D36A36E" w:rsidR="008E1DEF" w:rsidRDefault="00000000">
      <w:pPr>
        <w:rPr>
          <w:lang w:val="en-GB"/>
        </w:rPr>
      </w:pPr>
      <w:r>
        <w:rPr>
          <w:lang w:val="en-GB"/>
        </w:rPr>
        <w:t xml:space="preserve">While granular tracking tools are not yet widespread, there is already some early experience to draw on. In particular the Ministry for Foreign Affairs of Finland, as part of its process for tracking projects that the promote rights and participatory opportunities of persons with disabilities, asks reporters to estimate the percentage of total project funding that is </w:t>
      </w:r>
      <w:proofErr w:type="gramStart"/>
      <w:r>
        <w:rPr>
          <w:lang w:val="en-GB"/>
        </w:rPr>
        <w:t>disability-related</w:t>
      </w:r>
      <w:proofErr w:type="gramEnd"/>
      <w:r>
        <w:rPr>
          <w:lang w:val="en-GB"/>
        </w:rPr>
        <w:t>.</w:t>
      </w:r>
      <w:r>
        <w:rPr>
          <w:rStyle w:val="Fotnotereferanse"/>
          <w:lang w:val="en-GB"/>
        </w:rPr>
        <w:footnoteReference w:id="91"/>
      </w:r>
    </w:p>
    <w:p w14:paraId="2657CE2F" w14:textId="41A4E2EE" w:rsidR="008E1DEF" w:rsidRDefault="00000000">
      <w:pPr>
        <w:pStyle w:val="Overskrift4"/>
        <w:rPr>
          <w:lang w:val="en-GB"/>
        </w:rPr>
      </w:pPr>
      <w:r>
        <w:rPr>
          <w:lang w:val="en-GB"/>
        </w:rPr>
        <w:t xml:space="preserve">Recommendation (c): Providing guidance on what type of segregated initiatives that should be excluded, as some segregated initiatives might be beneficial and others harmful to inclusion </w:t>
      </w:r>
    </w:p>
    <w:p w14:paraId="60FA35C8" w14:textId="0247878D" w:rsidR="008E1DEF" w:rsidRDefault="00000000">
      <w:pPr>
        <w:pStyle w:val="Overskrift5"/>
        <w:numPr>
          <w:ilvl w:val="0"/>
          <w:numId w:val="29"/>
        </w:numPr>
        <w:rPr>
          <w:lang w:val="en-GB"/>
        </w:rPr>
      </w:pPr>
      <w:r>
        <w:rPr>
          <w:lang w:val="en-GB"/>
        </w:rPr>
        <w:t>Is this recommendation likely to help in monitoring spending that promotes the inclusion of persons with disabilities?</w:t>
      </w:r>
    </w:p>
    <w:p w14:paraId="56B35065" w14:textId="74DFAADC" w:rsidR="008E1DEF" w:rsidRDefault="00000000">
      <w:pPr>
        <w:rPr>
          <w:lang w:val="en-GB"/>
        </w:rPr>
      </w:pPr>
      <w:r>
        <w:rPr>
          <w:lang w:val="en-GB"/>
        </w:rPr>
        <w:t xml:space="preserve">The answer to this question depends on one’s understanding of whether segregated initiatives can ever be beneficial to inclusion. </w:t>
      </w:r>
    </w:p>
    <w:p w14:paraId="7512017B" w14:textId="060C918E" w:rsidR="008E1DEF" w:rsidRDefault="00000000">
      <w:pPr>
        <w:rPr>
          <w:lang w:val="en-GB"/>
        </w:rPr>
      </w:pPr>
      <w:r>
        <w:rPr>
          <w:lang w:val="en-GB"/>
        </w:rPr>
        <w:t xml:space="preserve">The author of this document is not a specialist on this issue and recommends that further consultation with organisations of persons with disabilities would be needed to reach a final view. </w:t>
      </w:r>
    </w:p>
    <w:p w14:paraId="6DA28E43" w14:textId="69B58AD0" w:rsidR="008E1DEF" w:rsidRDefault="00000000">
      <w:pPr>
        <w:rPr>
          <w:lang w:val="en-GB"/>
        </w:rPr>
      </w:pPr>
      <w:r>
        <w:rPr>
          <w:lang w:val="en-GB"/>
        </w:rPr>
        <w:lastRenderedPageBreak/>
        <w:t xml:space="preserve">However, the author’s understanding is that the UN Committee on the Rights of Persons with Disabilities does </w:t>
      </w:r>
      <w:r>
        <w:rPr>
          <w:b/>
          <w:bCs/>
          <w:lang w:val="en-GB"/>
        </w:rPr>
        <w:t>not</w:t>
      </w:r>
      <w:r>
        <w:rPr>
          <w:lang w:val="en-GB"/>
        </w:rPr>
        <w:t xml:space="preserve"> consider segregated initiatives to be compliant with the UN Convention on the Rights of Persons with Disabilities. This understanding is based on, for example, the Committee’s General Comments numbers 5</w:t>
      </w:r>
      <w:r>
        <w:rPr>
          <w:rStyle w:val="Fotnotereferanse"/>
          <w:lang w:val="en-GB"/>
        </w:rPr>
        <w:footnoteReference w:id="92"/>
      </w:r>
      <w:r>
        <w:rPr>
          <w:lang w:val="en-GB"/>
        </w:rPr>
        <w:t xml:space="preserve"> and 8.</w:t>
      </w:r>
      <w:r>
        <w:rPr>
          <w:rStyle w:val="Fotnotereferanse"/>
          <w:lang w:val="en-GB"/>
        </w:rPr>
        <w:footnoteReference w:id="93"/>
      </w:r>
      <w:r>
        <w:rPr>
          <w:lang w:val="en-GB"/>
        </w:rPr>
        <w:t xml:space="preserve"> </w:t>
      </w:r>
      <w:r>
        <w:rPr>
          <w:rStyle w:val="Fotnotereferanse"/>
          <w:lang w:val="en-GB"/>
        </w:rPr>
        <w:footnoteReference w:id="94"/>
      </w:r>
    </w:p>
    <w:p w14:paraId="6F8BE0B2" w14:textId="1BD48DCF" w:rsidR="008E1DEF" w:rsidRDefault="00000000">
      <w:pPr>
        <w:rPr>
          <w:lang w:val="en-GB"/>
        </w:rPr>
      </w:pPr>
      <w:r>
        <w:rPr>
          <w:lang w:val="en-GB"/>
        </w:rPr>
        <w:t xml:space="preserve">This understanding is further backed up by the International Disability Alliance’s own recommendations (jointly with the International Disability and Development Consortium) on the OECD-DAC ‘s first draft of the disability inclusion policy marker. The International Disability Alliance and International Disability and Development Consortium advised removing « support to special needs education programmes » from the OECD-DAC’s examples of projects that should be reported as disability-inclusive using the </w:t>
      </w:r>
      <w:proofErr w:type="gramStart"/>
      <w:r>
        <w:rPr>
          <w:lang w:val="en-GB"/>
        </w:rPr>
        <w:t>marker, and</w:t>
      </w:r>
      <w:proofErr w:type="gramEnd"/>
      <w:r>
        <w:rPr>
          <w:lang w:val="en-GB"/>
        </w:rPr>
        <w:t xml:space="preserve"> replacing it with an example that did not involve segregation.</w:t>
      </w:r>
      <w:r>
        <w:rPr>
          <w:rStyle w:val="Fotnotereferanse"/>
          <w:lang w:val="en-GB"/>
        </w:rPr>
        <w:footnoteReference w:id="95"/>
      </w:r>
    </w:p>
    <w:p w14:paraId="5F2E7152" w14:textId="1181E9CE" w:rsidR="008E1DEF" w:rsidRDefault="00000000">
      <w:pPr>
        <w:pStyle w:val="Overskrift5"/>
        <w:numPr>
          <w:ilvl w:val="0"/>
          <w:numId w:val="29"/>
        </w:numPr>
        <w:rPr>
          <w:lang w:val="en-GB"/>
        </w:rPr>
      </w:pPr>
      <w:r>
        <w:rPr>
          <w:lang w:val="en-GB"/>
        </w:rPr>
        <w:t>Is the recommendation compatible with the OECD-DAC’s wider policy marker system?</w:t>
      </w:r>
    </w:p>
    <w:p w14:paraId="0F9C9DE8" w14:textId="6FD66520" w:rsidR="008E1DEF" w:rsidRDefault="00000000">
      <w:pPr>
        <w:rPr>
          <w:lang w:val="en-GB"/>
        </w:rPr>
      </w:pPr>
      <w:r>
        <w:rPr>
          <w:lang w:val="en-GB"/>
        </w:rPr>
        <w:t>So far as the author of this document is aware, implementing this recommendation would be compatible with the OECD-DAC’s wider policy marker system, from a technical point of view.</w:t>
      </w:r>
    </w:p>
    <w:p w14:paraId="6CE8F895" w14:textId="2E8B2D78" w:rsidR="008E1DEF" w:rsidRDefault="00000000">
      <w:pPr>
        <w:pStyle w:val="Overskrift5"/>
        <w:numPr>
          <w:ilvl w:val="0"/>
          <w:numId w:val="29"/>
        </w:numPr>
        <w:rPr>
          <w:lang w:val="en-GB"/>
        </w:rPr>
      </w:pPr>
      <w:r>
        <w:rPr>
          <w:lang w:val="en-GB"/>
        </w:rPr>
        <w:t>Do alternative or modified options exist, which could address some of the underlying issues that the recommendations seek to tackle?</w:t>
      </w:r>
    </w:p>
    <w:p w14:paraId="2D650599" w14:textId="08B93517" w:rsidR="008E1DEF" w:rsidRDefault="00000000">
      <w:pPr>
        <w:rPr>
          <w:lang w:val="en-GB"/>
        </w:rPr>
      </w:pPr>
      <w:r>
        <w:rPr>
          <w:lang w:val="en-GB"/>
        </w:rPr>
        <w:t>While, as per question (</w:t>
      </w:r>
      <w:proofErr w:type="spellStart"/>
      <w:r>
        <w:rPr>
          <w:lang w:val="en-GB"/>
        </w:rPr>
        <w:t>i</w:t>
      </w:r>
      <w:proofErr w:type="spellEnd"/>
      <w:r>
        <w:rPr>
          <w:lang w:val="en-GB"/>
        </w:rPr>
        <w:t xml:space="preserve">) above, parts of this recommendation are likely to be contentious, the recommendation is linked to more fundamental challenge around which there would be much more widespread </w:t>
      </w:r>
      <w:proofErr w:type="gramStart"/>
      <w:r>
        <w:rPr>
          <w:lang w:val="en-GB"/>
        </w:rPr>
        <w:t>agreement :</w:t>
      </w:r>
      <w:proofErr w:type="gramEnd"/>
      <w:r>
        <w:rPr>
          <w:lang w:val="en-GB"/>
        </w:rPr>
        <w:t xml:space="preserve"> more needs to be done to raise OECD-DAC members’ awareness that ODA should not be invested in institutions. At present, a substantial number of ODA projects involving support to institutions take place every year. Sometimes, ironically, these projects are even reported under the disability inclusion policy marker as having objectives on inclusion of persons with disabilities.</w:t>
      </w:r>
      <w:r>
        <w:rPr>
          <w:rStyle w:val="Fotnotereferanse"/>
          <w:lang w:val="en-GB"/>
        </w:rPr>
        <w:footnoteReference w:id="96"/>
      </w:r>
      <w:r>
        <w:rPr>
          <w:lang w:val="en-GB"/>
        </w:rPr>
        <w:t xml:space="preserve"> It is suggested that this basic awareness raising issue should be prioritised in the first instance, before revisiting some of the more potentially contentious areas of recommendation (c).</w:t>
      </w:r>
    </w:p>
    <w:p w14:paraId="5CBE7274" w14:textId="7CAF2027" w:rsidR="008E1DEF" w:rsidRDefault="00000000">
      <w:pPr>
        <w:rPr>
          <w:rFonts w:asciiTheme="majorHAnsi" w:eastAsiaTheme="majorEastAsia" w:hAnsiTheme="majorHAnsi" w:cstheme="majorBidi"/>
          <w:color w:val="4472C4" w:themeColor="accent1"/>
          <w:sz w:val="28"/>
          <w:szCs w:val="26"/>
          <w:lang w:val="en-GB"/>
        </w:rPr>
      </w:pPr>
      <w:r>
        <w:rPr>
          <w:lang w:val="en-GB"/>
        </w:rPr>
        <w:br w:type="page"/>
      </w:r>
    </w:p>
    <w:p w14:paraId="57ED6858" w14:textId="53DA6705" w:rsidR="008E1DEF" w:rsidRDefault="00000000">
      <w:pPr>
        <w:pStyle w:val="Overskrift2"/>
      </w:pPr>
      <w:bookmarkStart w:id="16" w:name="_Toc129039833"/>
      <w:r>
        <w:lastRenderedPageBreak/>
        <w:t>Annex 3: Methodology</w:t>
      </w:r>
      <w:bookmarkEnd w:id="16"/>
    </w:p>
    <w:p w14:paraId="49C8E729" w14:textId="0516E412" w:rsidR="008E1DEF" w:rsidRDefault="00000000">
      <w:pPr>
        <w:rPr>
          <w:lang w:val="en-GB"/>
        </w:rPr>
      </w:pPr>
      <w:r>
        <w:rPr>
          <w:b/>
          <w:bCs/>
          <w:lang w:val="en-GB"/>
        </w:rPr>
        <w:t xml:space="preserve">Quantitative analysis </w:t>
      </w:r>
      <w:r>
        <w:rPr>
          <w:lang w:val="en-GB"/>
        </w:rPr>
        <w:t xml:space="preserve">throughout this document uses data from the OECD-DAC Creditor Reporting System database. Unless otherwise stated, the data relate to ODA commitments made in 2021. Negative commitments and non-allocable spending were excluded from the analysis. Unless otherwise stated, the analysis focuses on the </w:t>
      </w:r>
      <w:r>
        <w:rPr>
          <w:b/>
          <w:bCs/>
          <w:lang w:val="en-GB"/>
        </w:rPr>
        <w:t xml:space="preserve">number </w:t>
      </w:r>
      <w:r>
        <w:rPr>
          <w:lang w:val="en-GB"/>
        </w:rPr>
        <w:t xml:space="preserve">of ODA projects marked in a certain way (as opposed to the </w:t>
      </w:r>
      <w:r>
        <w:rPr>
          <w:b/>
          <w:bCs/>
          <w:lang w:val="en-GB"/>
        </w:rPr>
        <w:t xml:space="preserve">value </w:t>
      </w:r>
      <w:r>
        <w:rPr>
          <w:lang w:val="en-GB"/>
        </w:rPr>
        <w:t>of spending marked in a certain way): this approach was chosen because it gives a clearer insight into how systematically the inclusion of persons with disabilities is being considered in project planning.</w:t>
      </w:r>
    </w:p>
    <w:p w14:paraId="3B58FF04" w14:textId="7A2B99DD" w:rsidR="008E1DEF" w:rsidRDefault="00000000">
      <w:pPr>
        <w:rPr>
          <w:lang w:val="en-GB"/>
        </w:rPr>
      </w:pPr>
      <w:r>
        <w:rPr>
          <w:lang w:val="en-GB"/>
        </w:rPr>
        <w:t xml:space="preserve">The </w:t>
      </w:r>
      <w:r>
        <w:rPr>
          <w:b/>
          <w:bCs/>
          <w:lang w:val="en-GB"/>
        </w:rPr>
        <w:t xml:space="preserve">mixed quantitative and qualitative analysis used in Figure 3 </w:t>
      </w:r>
      <w:r>
        <w:rPr>
          <w:lang w:val="en-GB"/>
        </w:rPr>
        <w:t xml:space="preserve">takes </w:t>
      </w:r>
      <w:r>
        <w:rPr>
          <w:b/>
          <w:bCs/>
          <w:lang w:val="en-GB"/>
        </w:rPr>
        <w:t>quantitative</w:t>
      </w:r>
      <w:r>
        <w:rPr>
          <w:lang w:val="en-GB"/>
        </w:rPr>
        <w:t xml:space="preserve"> data generated following the approach described above (but using data from 2020, to align with the other sources used for the analysis). The analysis took </w:t>
      </w:r>
      <w:r>
        <w:rPr>
          <w:b/>
          <w:bCs/>
          <w:lang w:val="en-GB"/>
        </w:rPr>
        <w:t>qualitative</w:t>
      </w:r>
      <w:r>
        <w:rPr>
          <w:lang w:val="en-GB"/>
        </w:rPr>
        <w:t xml:space="preserve"> data from two pieces of research that assessed OECD-DAC members’ policies and processes on disability inclusion : the European Disability Forum’s project, ‘</w:t>
      </w:r>
      <w:hyperlink r:id="rId30" w:history="1">
        <w:r>
          <w:rPr>
            <w:rStyle w:val="Hyperkobling"/>
            <w:lang w:val="en-GB"/>
          </w:rPr>
          <w:t>Mapping disability inclusiveness of European member states’ development and humanitarian aid</w:t>
        </w:r>
      </w:hyperlink>
      <w:r>
        <w:rPr>
          <w:lang w:val="en-GB"/>
        </w:rPr>
        <w:t xml:space="preserve">’ ; and (ii) CBM Switzerland’s </w:t>
      </w:r>
      <w:hyperlink r:id="rId31" w:history="1">
        <w:r>
          <w:rPr>
            <w:rStyle w:val="Hyperkobling"/>
            <w:lang w:val="en-GB"/>
          </w:rPr>
          <w:t>Fact sheet on the disability inclusiveness of Swiss development and humanitarian aid</w:t>
        </w:r>
      </w:hyperlink>
      <w:r>
        <w:rPr>
          <w:lang w:val="en-GB"/>
        </w:rPr>
        <w:t>. These two</w:t>
      </w:r>
      <w:r>
        <w:rPr>
          <w:rStyle w:val="Hyperkobling"/>
          <w:lang w:val="en-GB"/>
        </w:rPr>
        <w:t xml:space="preserve"> </w:t>
      </w:r>
      <w:r>
        <w:rPr>
          <w:lang w:val="en-GB"/>
        </w:rPr>
        <w:t xml:space="preserve">sources were chosen because they took place in the same </w:t>
      </w:r>
      <w:proofErr w:type="gramStart"/>
      <w:r>
        <w:rPr>
          <w:lang w:val="en-GB"/>
        </w:rPr>
        <w:t>time period</w:t>
      </w:r>
      <w:proofErr w:type="gramEnd"/>
      <w:r>
        <w:rPr>
          <w:lang w:val="en-GB"/>
        </w:rPr>
        <w:t xml:space="preserve"> as each other (late 2020/early 2021) and followed a standardised methodology, allowing comparisons to be drawn between different OECD-DAC members. Combining these qualitative sources with the quantitative data from the OECD-DAC database made it possible to examine a sample of 10 OECD-DAC members that fall into the intersection of (a) countries that were included in these qualitative research </w:t>
      </w:r>
      <w:proofErr w:type="gramStart"/>
      <w:r>
        <w:rPr>
          <w:lang w:val="en-GB"/>
        </w:rPr>
        <w:t>projects ;</w:t>
      </w:r>
      <w:proofErr w:type="gramEnd"/>
      <w:r>
        <w:rPr>
          <w:lang w:val="en-GB"/>
        </w:rPr>
        <w:t xml:space="preserve"> and (b) countries that reported data using the OECD-DAC disability inclusion policy marker in 2020.</w:t>
      </w:r>
    </w:p>
    <w:p w14:paraId="603BFE3D" w14:textId="77777777" w:rsidR="008E1DEF" w:rsidRDefault="00000000">
      <w:pPr>
        <w:rPr>
          <w:lang w:val="en-GB"/>
        </w:rPr>
      </w:pPr>
      <w:r>
        <w:rPr>
          <w:lang w:val="en-GB"/>
        </w:rPr>
        <w:t>The qualitative research reports above cover a wide range of indicators. Out of these, six key indicators were selected as the most directly relevant to fostering the inclusion of persons with disabilities in project level objectives: (</w:t>
      </w:r>
      <w:proofErr w:type="spellStart"/>
      <w:r>
        <w:rPr>
          <w:lang w:val="en-GB"/>
        </w:rPr>
        <w:t>i</w:t>
      </w:r>
      <w:proofErr w:type="spellEnd"/>
      <w:r>
        <w:rPr>
          <w:lang w:val="en-GB"/>
        </w:rPr>
        <w:t>) the extent to which the inclusion of persons with disabilities is incorporated in an OECD-DAC member’s overarching strategies and policies on development cooperation and humanitarian action ; (ii) the existence of a dedicated strategy or policy on the inclusion of persons with disabilities in development cooperation and humanitarian action ; (iii) the extent of human resources for work on the inclusion of persons with disabilities ; (iv) the extent to which there is scope to consider the inclusion of persons with disabilities in project budgets ; (v) the existence of ex ante checks on whether projects are designed to be inclusive of persons with disabilities ; and (vi) the extent to which projects are required to gather disaggregated data and other evidence on results for persons with disabilities.</w:t>
      </w:r>
      <w:r>
        <w:rPr>
          <w:rStyle w:val="Fotnotereferanse"/>
          <w:lang w:val="en-GB"/>
        </w:rPr>
        <w:footnoteReference w:id="97"/>
      </w:r>
      <w:r>
        <w:rPr>
          <w:lang w:val="en-GB"/>
        </w:rPr>
        <w:t xml:space="preserve"> </w:t>
      </w:r>
    </w:p>
    <w:p w14:paraId="7895566E" w14:textId="7819184A" w:rsidR="008E1DEF" w:rsidRDefault="00000000">
      <w:pPr>
        <w:rPr>
          <w:lang w:val="en-GB"/>
        </w:rPr>
      </w:pPr>
      <w:r>
        <w:rPr>
          <w:lang w:val="en-GB"/>
        </w:rPr>
        <w:t xml:space="preserve">Although the active involvement of persons with disabilities and their representative organisations is fundamental for a project to be genuinely disability-inclusive, to uphold the UN Convention on the Rights of Persons with Disabilities, and to avoid perpetuating unequal power dynamics, for the purpose of this </w:t>
      </w:r>
      <w:proofErr w:type="gramStart"/>
      <w:r>
        <w:rPr>
          <w:lang w:val="en-GB"/>
        </w:rPr>
        <w:t>particular analysis</w:t>
      </w:r>
      <w:proofErr w:type="gramEnd"/>
      <w:r>
        <w:rPr>
          <w:lang w:val="en-GB"/>
        </w:rPr>
        <w:t xml:space="preserve">, indicators on the involvement of persons with disabilities were </w:t>
      </w:r>
      <w:r>
        <w:rPr>
          <w:b/>
          <w:bCs/>
          <w:lang w:val="en-GB"/>
        </w:rPr>
        <w:t>not</w:t>
      </w:r>
      <w:r>
        <w:rPr>
          <w:lang w:val="en-GB"/>
        </w:rPr>
        <w:t xml:space="preserve"> used. That is because the focus of this analysis is the quality of implementation of the OECD-DAC disability inclusion policy marker </w:t>
      </w:r>
      <w:r>
        <w:rPr>
          <w:b/>
          <w:bCs/>
          <w:lang w:val="en-GB"/>
        </w:rPr>
        <w:t>as it is currently designed</w:t>
      </w:r>
      <w:r>
        <w:rPr>
          <w:lang w:val="en-GB"/>
        </w:rPr>
        <w:t xml:space="preserve">. Since (as noted under opportunity 4, above) the current design of the disability inclusion policy marker does not directly cover the active involvement of persons with disabilities and their representative organisations, it did not make </w:t>
      </w:r>
      <w:r>
        <w:rPr>
          <w:lang w:val="en-GB"/>
        </w:rPr>
        <w:lastRenderedPageBreak/>
        <w:t>sense to include this dimension in an assessment of marker implementation – not, that is, until the design of the marker is updated to take this dimension into account. The chosen indicators instead all focus on management-related factors that would directly incentivise staff to include objectives on disability in their projects, in line with the current more limited scope of the disability inclusion policy marker.</w:t>
      </w:r>
      <w:r>
        <w:rPr>
          <w:rStyle w:val="Fotnotereferanse"/>
          <w:lang w:val="en-GB"/>
        </w:rPr>
        <w:footnoteReference w:id="98"/>
      </w:r>
    </w:p>
    <w:p w14:paraId="1421A5DC" w14:textId="77777777" w:rsidR="008E1DEF" w:rsidRDefault="00000000">
      <w:pPr>
        <w:rPr>
          <w:lang w:val="en-GB"/>
        </w:rPr>
      </w:pPr>
      <w:r>
        <w:rPr>
          <w:lang w:val="en-GB"/>
        </w:rPr>
        <w:t xml:space="preserve">Once the six indicators had been selected, the 10 OECD-DAC members were then allocated a score against each indicator, based on the qualitative data in the research by the European Disability Forum and by CBM Switzerland. It is recognised that such a scoring exercise is highly subjective – but some sensitivity testing was also undertaken, which indicated that individual scores would have to change quite substantially before the big picture was affected. </w:t>
      </w:r>
    </w:p>
    <w:p w14:paraId="69E4B1FA" w14:textId="77777777" w:rsidR="008E1DEF" w:rsidRDefault="00000000">
      <w:pPr>
        <w:rPr>
          <w:lang w:val="en-GB"/>
        </w:rPr>
      </w:pPr>
      <w:r>
        <w:rPr>
          <w:lang w:val="en-GB"/>
        </w:rPr>
        <w:t xml:space="preserve">The scores from the analysis of the qualitative data on the 10 OECD-DAC members were then set alongside their quantitative results on the disability inclusion policy marker – </w:t>
      </w:r>
      <w:proofErr w:type="gramStart"/>
      <w:r>
        <w:rPr>
          <w:lang w:val="en-GB"/>
        </w:rPr>
        <w:t>i.e.</w:t>
      </w:r>
      <w:proofErr w:type="gramEnd"/>
      <w:r>
        <w:rPr>
          <w:lang w:val="en-GB"/>
        </w:rPr>
        <w:t xml:space="preserve"> the percentage of allocable ODA commitments that they had marked as having a significant or principal objective on the inclusion of persons with disabilities. </w:t>
      </w:r>
    </w:p>
    <w:p w14:paraId="058CA17C" w14:textId="77777777" w:rsidR="008E1DEF" w:rsidRDefault="00000000">
      <w:pPr>
        <w:rPr>
          <w:lang w:val="en-GB"/>
        </w:rPr>
      </w:pPr>
      <w:r>
        <w:rPr>
          <w:lang w:val="en-GB"/>
        </w:rPr>
        <w:t xml:space="preserve">Because citing actual percentages from the disability inclusion policy marker could have made it possible to identify individual OECD-DAC members, and the analysis seeks to preserve anonymity, the raw percentages were then converted into rankings from 1-10, as were the results from the scoring of the qualitative data on members’ processes. The two sets of rankings were then plotted on the scatter chart in Figure 3, to allow any apparent anomalies to be identified. (Please note that, while the final analysis presented in this document uses rankings, the conclusion from the analysis – that one OECD-DAC member appears to be an outlier – would </w:t>
      </w:r>
      <w:proofErr w:type="gramStart"/>
      <w:r>
        <w:rPr>
          <w:lang w:val="en-GB"/>
        </w:rPr>
        <w:t>actually have</w:t>
      </w:r>
      <w:proofErr w:type="gramEnd"/>
      <w:r>
        <w:rPr>
          <w:lang w:val="en-GB"/>
        </w:rPr>
        <w:t xml:space="preserve"> been </w:t>
      </w:r>
      <w:r>
        <w:rPr>
          <w:b/>
          <w:bCs/>
          <w:lang w:val="en-GB"/>
        </w:rPr>
        <w:t>even more</w:t>
      </w:r>
      <w:r>
        <w:rPr>
          <w:lang w:val="en-GB"/>
        </w:rPr>
        <w:t xml:space="preserve"> pronounced if the raw percentages and scores had been used).</w:t>
      </w:r>
    </w:p>
    <w:p w14:paraId="5397523E" w14:textId="77777777" w:rsidR="008E1DEF" w:rsidRDefault="008E1DEF">
      <w:pPr>
        <w:rPr>
          <w:i/>
          <w:iCs/>
          <w:lang w:val="en-GB"/>
        </w:rPr>
      </w:pPr>
    </w:p>
    <w:sectPr w:rsidR="008E1DE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939BF" w14:textId="77777777" w:rsidR="00534A5C" w:rsidRDefault="00534A5C">
      <w:pPr>
        <w:spacing w:after="0" w:line="240" w:lineRule="auto"/>
      </w:pPr>
      <w:r>
        <w:separator/>
      </w:r>
    </w:p>
  </w:endnote>
  <w:endnote w:type="continuationSeparator" w:id="0">
    <w:p w14:paraId="076405E1" w14:textId="77777777" w:rsidR="00534A5C" w:rsidRDefault="00534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009440"/>
      <w:docPartObj>
        <w:docPartGallery w:val="Page Numbers (Bottom of Page)"/>
        <w:docPartUnique/>
      </w:docPartObj>
    </w:sdtPr>
    <w:sdtEndPr>
      <w:rPr>
        <w:noProof/>
      </w:rPr>
    </w:sdtEndPr>
    <w:sdtContent>
      <w:p w14:paraId="3C7AAA87" w14:textId="77777777" w:rsidR="008E1DEF" w:rsidRDefault="00000000">
        <w:pPr>
          <w:pStyle w:val="Bunntekst"/>
        </w:pPr>
        <w:r>
          <w:fldChar w:fldCharType="begin"/>
        </w:r>
        <w:r>
          <w:instrText xml:space="preserve"> PAGE   \* MERGEFORMAT </w:instrText>
        </w:r>
        <w:r>
          <w:fldChar w:fldCharType="separate"/>
        </w:r>
        <w:r>
          <w:rPr>
            <w:noProof/>
          </w:rPr>
          <w:t>2</w:t>
        </w:r>
        <w:r>
          <w:rPr>
            <w:noProof/>
          </w:rPr>
          <w:fldChar w:fldCharType="end"/>
        </w:r>
      </w:p>
    </w:sdtContent>
  </w:sdt>
  <w:p w14:paraId="48ECC86C" w14:textId="77777777" w:rsidR="008E1DEF" w:rsidRDefault="008E1DE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0B94A" w14:textId="77777777" w:rsidR="00534A5C" w:rsidRDefault="00534A5C">
      <w:pPr>
        <w:spacing w:after="0" w:line="240" w:lineRule="auto"/>
      </w:pPr>
      <w:r>
        <w:separator/>
      </w:r>
    </w:p>
  </w:footnote>
  <w:footnote w:type="continuationSeparator" w:id="0">
    <w:p w14:paraId="455815CD" w14:textId="77777777" w:rsidR="00534A5C" w:rsidRDefault="00534A5C">
      <w:pPr>
        <w:spacing w:after="0" w:line="240" w:lineRule="auto"/>
      </w:pPr>
      <w:r>
        <w:continuationSeparator/>
      </w:r>
    </w:p>
  </w:footnote>
  <w:footnote w:id="1">
    <w:p w14:paraId="033C9FF4" w14:textId="4E21265C" w:rsidR="008E1DEF" w:rsidRDefault="00000000">
      <w:pPr>
        <w:pStyle w:val="Fotnotetekst"/>
        <w:rPr>
          <w:lang w:val="en-GB"/>
        </w:rPr>
      </w:pPr>
      <w:r>
        <w:rPr>
          <w:rStyle w:val="Fotnotereferanse"/>
          <w:lang w:val="en-GB"/>
        </w:rPr>
        <w:footnoteRef/>
      </w:r>
      <w:r>
        <w:rPr>
          <w:lang w:val="en-GB"/>
        </w:rPr>
        <w:t xml:space="preserve"> For more details on the definition of allocable ODA, please see the technical note in the introduction.</w:t>
      </w:r>
    </w:p>
  </w:footnote>
  <w:footnote w:id="2">
    <w:p w14:paraId="47D10DEF" w14:textId="08900B5B" w:rsidR="008E1DEF" w:rsidRDefault="00000000">
      <w:pPr>
        <w:pStyle w:val="Fotnotetekst"/>
        <w:rPr>
          <w:lang w:val="en-GB"/>
        </w:rPr>
      </w:pPr>
      <w:r>
        <w:rPr>
          <w:rStyle w:val="Fotnotereferanse"/>
          <w:lang w:val="en-GB"/>
        </w:rPr>
        <w:footnoteRef/>
      </w:r>
      <w:r>
        <w:rPr>
          <w:lang w:val="en-GB"/>
        </w:rPr>
        <w:t xml:space="preserve"> </w:t>
      </w:r>
      <w:hyperlink r:id="rId1" w:history="1">
        <w:r>
          <w:rPr>
            <w:rStyle w:val="Hyperkobling"/>
            <w:lang w:val="en-GB"/>
          </w:rPr>
          <w:t>United Nations Convention on the Rights of Persons with Disabilities</w:t>
        </w:r>
      </w:hyperlink>
      <w:r>
        <w:rPr>
          <w:lang w:val="en-GB"/>
        </w:rPr>
        <w:t xml:space="preserve">, </w:t>
      </w:r>
      <w:proofErr w:type="gramStart"/>
      <w:r>
        <w:rPr>
          <w:lang w:val="en-GB"/>
        </w:rPr>
        <w:t>in particular Article</w:t>
      </w:r>
      <w:proofErr w:type="gramEnd"/>
      <w:r>
        <w:rPr>
          <w:lang w:val="en-GB"/>
        </w:rPr>
        <w:t xml:space="preserve"> 11 and 32.</w:t>
      </w:r>
    </w:p>
  </w:footnote>
  <w:footnote w:id="3">
    <w:p w14:paraId="3A106FCE" w14:textId="77777777" w:rsidR="008E1DEF" w:rsidRDefault="00000000">
      <w:pPr>
        <w:pStyle w:val="Fotnotetekst"/>
        <w:rPr>
          <w:lang w:val="en-GB"/>
        </w:rPr>
      </w:pPr>
      <w:r>
        <w:rPr>
          <w:rStyle w:val="Fotnotereferanse"/>
          <w:lang w:val="en-GB"/>
        </w:rPr>
        <w:footnoteRef/>
      </w:r>
      <w:r>
        <w:rPr>
          <w:lang w:val="en-GB"/>
        </w:rPr>
        <w:t xml:space="preserve"> United Nations, ‘</w:t>
      </w:r>
      <w:hyperlink r:id="rId2" w:history="1">
        <w:r>
          <w:rPr>
            <w:rStyle w:val="Hyperkobling"/>
            <w:lang w:val="en-GB"/>
          </w:rPr>
          <w:t>Transforming our world: the 2030 Agenda for Sustainable Development</w:t>
        </w:r>
      </w:hyperlink>
      <w:r>
        <w:rPr>
          <w:lang w:val="en-GB"/>
        </w:rPr>
        <w:t>’, paragraph 4.</w:t>
      </w:r>
    </w:p>
  </w:footnote>
  <w:footnote w:id="4">
    <w:p w14:paraId="239E047C" w14:textId="77777777" w:rsidR="008E1DEF" w:rsidRDefault="00000000">
      <w:pPr>
        <w:pStyle w:val="Fotnotetekst"/>
        <w:rPr>
          <w:lang w:val="en-GB"/>
        </w:rPr>
      </w:pPr>
      <w:r>
        <w:rPr>
          <w:rStyle w:val="Fotnotereferanse"/>
          <w:lang w:val="en-GB"/>
        </w:rPr>
        <w:footnoteRef/>
      </w:r>
      <w:r>
        <w:rPr>
          <w:lang w:val="en-GB"/>
        </w:rPr>
        <w:t xml:space="preserve"> International Disability Alliance, 2022, </w:t>
      </w:r>
      <w:hyperlink r:id="rId3" w:anchor="page=37&amp;zoom=100,0,0" w:history="1">
        <w:r>
          <w:rPr>
            <w:rStyle w:val="Hyperkobling"/>
            <w:lang w:val="en-GB"/>
          </w:rPr>
          <w:t>Global Disability Summit 2022 report</w:t>
        </w:r>
      </w:hyperlink>
      <w:r>
        <w:rPr>
          <w:lang w:val="en-GB"/>
        </w:rPr>
        <w:t>, p.25</w:t>
      </w:r>
    </w:p>
  </w:footnote>
  <w:footnote w:id="5">
    <w:p w14:paraId="001EC9F0" w14:textId="77777777" w:rsidR="008E1DEF" w:rsidRDefault="00000000">
      <w:pPr>
        <w:pStyle w:val="Fotnotetekst"/>
        <w:rPr>
          <w:lang w:val="en-GB"/>
        </w:rPr>
      </w:pPr>
      <w:r>
        <w:rPr>
          <w:rStyle w:val="Fotnotereferanse"/>
          <w:lang w:val="en-GB"/>
        </w:rPr>
        <w:footnoteRef/>
      </w:r>
      <w:r>
        <w:rPr>
          <w:lang w:val="en-GB"/>
        </w:rPr>
        <w:t xml:space="preserve"> See for example European Disability Forum, 2021, </w:t>
      </w:r>
      <w:hyperlink r:id="rId4" w:history="1">
        <w:r>
          <w:rPr>
            <w:rStyle w:val="Hyperkobling"/>
            <w:lang w:val="en-GB"/>
          </w:rPr>
          <w:t>Mapping disability inclusiveness of European member states’ development and humanitarian aid</w:t>
        </w:r>
      </w:hyperlink>
    </w:p>
  </w:footnote>
  <w:footnote w:id="6">
    <w:p w14:paraId="3835BB34" w14:textId="77777777" w:rsidR="008E1DEF" w:rsidRDefault="00000000">
      <w:pPr>
        <w:pStyle w:val="Fotnotetekst"/>
        <w:rPr>
          <w:lang w:val="en-GB"/>
        </w:rPr>
      </w:pPr>
      <w:r>
        <w:rPr>
          <w:rStyle w:val="Fotnotereferanse"/>
          <w:lang w:val="en-GB"/>
        </w:rPr>
        <w:footnoteRef/>
      </w:r>
      <w:r>
        <w:rPr>
          <w:lang w:val="en-GB"/>
        </w:rPr>
        <w:t xml:space="preserve"> Some of these risks, particularly related to climate change, will be discussed further in forthcoming research by CBM Global</w:t>
      </w:r>
    </w:p>
  </w:footnote>
  <w:footnote w:id="7">
    <w:p w14:paraId="005B8A85" w14:textId="77777777" w:rsidR="008E1DEF" w:rsidRDefault="00000000">
      <w:pPr>
        <w:pStyle w:val="Fotnotetekst"/>
        <w:rPr>
          <w:lang w:val="en-GB"/>
        </w:rPr>
      </w:pPr>
      <w:r>
        <w:rPr>
          <w:rStyle w:val="Fotnotereferanse"/>
          <w:lang w:val="en-GB"/>
        </w:rPr>
        <w:footnoteRef/>
      </w:r>
      <w:r>
        <w:rPr>
          <w:lang w:val="en-GB"/>
        </w:rPr>
        <w:t xml:space="preserve"> See for example </w:t>
      </w:r>
      <w:proofErr w:type="spellStart"/>
      <w:r>
        <w:rPr>
          <w:lang w:val="en-GB"/>
        </w:rPr>
        <w:t>Castres</w:t>
      </w:r>
      <w:proofErr w:type="spellEnd"/>
      <w:r>
        <w:rPr>
          <w:lang w:val="en-GB"/>
        </w:rPr>
        <w:t xml:space="preserve">, </w:t>
      </w:r>
      <w:hyperlink r:id="rId5" w:history="1">
        <w:r>
          <w:rPr>
            <w:rStyle w:val="Hyperkobling"/>
            <w:lang w:val="en-GB"/>
          </w:rPr>
          <w:t>Climate policy and activism need to make more space for disabled people</w:t>
        </w:r>
      </w:hyperlink>
      <w:r>
        <w:rPr>
          <w:lang w:val="en-GB"/>
        </w:rPr>
        <w:t xml:space="preserve">, </w:t>
      </w:r>
      <w:proofErr w:type="spellStart"/>
      <w:r>
        <w:rPr>
          <w:lang w:val="en-GB"/>
        </w:rPr>
        <w:t>BMJ</w:t>
      </w:r>
      <w:proofErr w:type="spellEnd"/>
      <w:r>
        <w:rPr>
          <w:lang w:val="en-GB"/>
        </w:rPr>
        <w:t xml:space="preserve"> 2022;</w:t>
      </w:r>
      <w:proofErr w:type="gramStart"/>
      <w:r>
        <w:rPr>
          <w:lang w:val="en-GB"/>
        </w:rPr>
        <w:t>379:o</w:t>
      </w:r>
      <w:proofErr w:type="gramEnd"/>
      <w:r>
        <w:rPr>
          <w:lang w:val="en-GB"/>
        </w:rPr>
        <w:t>2387</w:t>
      </w:r>
    </w:p>
  </w:footnote>
  <w:footnote w:id="8">
    <w:p w14:paraId="52DDBCE6" w14:textId="77777777" w:rsidR="008E1DEF" w:rsidRDefault="00000000">
      <w:pPr>
        <w:pStyle w:val="Fotnotetekst"/>
        <w:rPr>
          <w:lang w:val="en-GB"/>
        </w:rPr>
      </w:pPr>
      <w:r>
        <w:rPr>
          <w:rStyle w:val="Fotnotereferanse"/>
          <w:lang w:val="en-GB"/>
        </w:rPr>
        <w:footnoteRef/>
      </w:r>
      <w:r>
        <w:rPr>
          <w:lang w:val="en-GB"/>
        </w:rPr>
        <w:t xml:space="preserve"> The impact of recent economic crisis on persons with disabilities in the Global South has not yet been fully documented, but can be assumed to be particularly severe, since persons with disabilities already faced additional costs of living even before the recent economic crisis struck (as per e.g. Lena </w:t>
      </w:r>
      <w:proofErr w:type="spellStart"/>
      <w:r>
        <w:rPr>
          <w:lang w:val="en-GB"/>
        </w:rPr>
        <w:t>Morgon</w:t>
      </w:r>
      <w:proofErr w:type="spellEnd"/>
      <w:r>
        <w:rPr>
          <w:lang w:val="en-GB"/>
        </w:rPr>
        <w:t xml:space="preserve"> Banks, </w:t>
      </w:r>
      <w:proofErr w:type="spellStart"/>
      <w:r>
        <w:rPr>
          <w:lang w:val="en-GB"/>
        </w:rPr>
        <w:t>Shaffa</w:t>
      </w:r>
      <w:proofErr w:type="spellEnd"/>
      <w:r>
        <w:rPr>
          <w:lang w:val="en-GB"/>
        </w:rPr>
        <w:t xml:space="preserve"> Hameed, Ola Abu </w:t>
      </w:r>
      <w:proofErr w:type="spellStart"/>
      <w:r>
        <w:rPr>
          <w:lang w:val="en-GB"/>
        </w:rPr>
        <w:t>Alghaib</w:t>
      </w:r>
      <w:proofErr w:type="spellEnd"/>
      <w:r>
        <w:rPr>
          <w:lang w:val="en-GB"/>
        </w:rPr>
        <w:t xml:space="preserve">, Emily </w:t>
      </w:r>
      <w:proofErr w:type="spellStart"/>
      <w:r>
        <w:rPr>
          <w:lang w:val="en-GB"/>
        </w:rPr>
        <w:t>Nyariki</w:t>
      </w:r>
      <w:proofErr w:type="spellEnd"/>
      <w:r>
        <w:rPr>
          <w:lang w:val="en-GB"/>
        </w:rPr>
        <w:t xml:space="preserve">, Joyce </w:t>
      </w:r>
      <w:proofErr w:type="spellStart"/>
      <w:r>
        <w:rPr>
          <w:lang w:val="en-GB"/>
        </w:rPr>
        <w:t>Olenja</w:t>
      </w:r>
      <w:proofErr w:type="spellEnd"/>
      <w:r>
        <w:rPr>
          <w:lang w:val="en-GB"/>
        </w:rPr>
        <w:t xml:space="preserve">, Umma </w:t>
      </w:r>
      <w:proofErr w:type="spellStart"/>
      <w:r>
        <w:rPr>
          <w:lang w:val="en-GB"/>
        </w:rPr>
        <w:t>Kulsum</w:t>
      </w:r>
      <w:proofErr w:type="spellEnd"/>
      <w:r>
        <w:rPr>
          <w:lang w:val="en-GB"/>
        </w:rPr>
        <w:t xml:space="preserve">, </w:t>
      </w:r>
      <w:proofErr w:type="spellStart"/>
      <w:r>
        <w:rPr>
          <w:lang w:val="en-GB"/>
        </w:rPr>
        <w:t>Rafiul</w:t>
      </w:r>
      <w:proofErr w:type="spellEnd"/>
      <w:r>
        <w:rPr>
          <w:lang w:val="en-GB"/>
        </w:rPr>
        <w:t xml:space="preserve"> Karim &amp; Tom Shakespeare (2022) “It Is Too Much for Us”: Direct and Indirect Costs of Disability Amongst Working-Aged People with Disabilities in Dhaka, Bangladesh and Nairobi, Kenya, Journal of Human Development and Capabilities, 23:2, 228-251, DOI: </w:t>
      </w:r>
      <w:hyperlink r:id="rId6" w:history="1">
        <w:r>
          <w:rPr>
            <w:lang w:val="en-GB"/>
          </w:rPr>
          <w:t>10.1080/19452829.2021.1932774</w:t>
        </w:r>
      </w:hyperlink>
      <w:r>
        <w:rPr>
          <w:lang w:val="en-GB"/>
        </w:rPr>
        <w:t>). For anecdotal evidence since the crisis, see e.g. Yorke/Daily Guide Network, 2022, ‘</w:t>
      </w:r>
      <w:hyperlink r:id="rId7" w:history="1">
        <w:r>
          <w:rPr>
            <w:rStyle w:val="Hyperkobling"/>
            <w:lang w:val="en-GB"/>
          </w:rPr>
          <w:t>PWDs threaten to demonstrate over high cost of living</w:t>
        </w:r>
      </w:hyperlink>
      <w:r>
        <w:rPr>
          <w:lang w:val="en-GB"/>
        </w:rPr>
        <w:t>’.</w:t>
      </w:r>
    </w:p>
  </w:footnote>
  <w:footnote w:id="9">
    <w:p w14:paraId="1FA4A052" w14:textId="77777777" w:rsidR="008E1DEF" w:rsidRDefault="00000000">
      <w:pPr>
        <w:pStyle w:val="Fotnotetekst"/>
        <w:rPr>
          <w:lang w:val="en-GB"/>
        </w:rPr>
      </w:pPr>
      <w:r>
        <w:rPr>
          <w:rStyle w:val="Fotnotereferanse"/>
          <w:lang w:val="en-GB"/>
        </w:rPr>
        <w:footnoteRef/>
      </w:r>
      <w:r>
        <w:rPr>
          <w:lang w:val="en-GB"/>
        </w:rPr>
        <w:t xml:space="preserve"> See for example UN Committee on the Rights of Persons with Disabilities, April 2022, </w:t>
      </w:r>
      <w:hyperlink r:id="rId8" w:history="1">
        <w:r>
          <w:rPr>
            <w:rStyle w:val="Hyperkobling"/>
            <w:lang w:val="en-GB"/>
          </w:rPr>
          <w:t>Ukraine : 2.7 million people with disabilities at risk, UN Committee warns</w:t>
        </w:r>
      </w:hyperlink>
    </w:p>
  </w:footnote>
  <w:footnote w:id="10">
    <w:p w14:paraId="09A726B6" w14:textId="77777777" w:rsidR="008E1DEF" w:rsidRDefault="00000000">
      <w:pPr>
        <w:pStyle w:val="Fotnotetekst"/>
        <w:rPr>
          <w:lang w:val="en-GB"/>
        </w:rPr>
      </w:pPr>
      <w:r>
        <w:rPr>
          <w:rStyle w:val="Fotnotereferanse"/>
          <w:lang w:val="en-GB"/>
        </w:rPr>
        <w:footnoteRef/>
      </w:r>
      <w:r>
        <w:rPr>
          <w:lang w:val="en-GB"/>
        </w:rPr>
        <w:t xml:space="preserve"> OECD, 2021, ‘</w:t>
      </w:r>
      <w:hyperlink r:id="rId9" w:history="1">
        <w:r>
          <w:rPr>
            <w:rStyle w:val="Hyperkobling"/>
            <w:lang w:val="en-GB"/>
          </w:rPr>
          <w:t>What is ODA?</w:t>
        </w:r>
      </w:hyperlink>
      <w:r>
        <w:rPr>
          <w:lang w:val="en-GB"/>
        </w:rPr>
        <w:t>’, p.1</w:t>
      </w:r>
    </w:p>
  </w:footnote>
  <w:footnote w:id="11">
    <w:p w14:paraId="2BF64ABC" w14:textId="77777777" w:rsidR="008E1DEF" w:rsidRDefault="00000000">
      <w:pPr>
        <w:pStyle w:val="Fotnotetekst"/>
        <w:rPr>
          <w:lang w:val="en-GB"/>
        </w:rPr>
      </w:pPr>
      <w:r>
        <w:rPr>
          <w:rStyle w:val="Fotnotereferanse"/>
          <w:lang w:val="en-GB"/>
        </w:rPr>
        <w:footnoteRef/>
      </w:r>
      <w:r>
        <w:rPr>
          <w:lang w:val="en-GB"/>
        </w:rPr>
        <w:t xml:space="preserve"> The spending types are: basket funds/pooled funding; contributions to specific-purpose programmes and funds managed by implementing </w:t>
      </w:r>
      <w:proofErr w:type="gramStart"/>
      <w:r>
        <w:rPr>
          <w:lang w:val="en-GB"/>
        </w:rPr>
        <w:t>partners ;</w:t>
      </w:r>
      <w:proofErr w:type="gramEnd"/>
      <w:r>
        <w:rPr>
          <w:lang w:val="en-GB"/>
        </w:rPr>
        <w:t xml:space="preserve"> core support to NGOs, private bodies, PPPs and research institutes ; donor country personnel ; other technical assistance ; project-type interventions ; and sector budget support. Source : OECD-DAC, 2020, </w:t>
      </w:r>
      <w:hyperlink r:id="rId10" w:history="1">
        <w:r>
          <w:rPr>
            <w:rStyle w:val="Hyperkobling"/>
            <w:lang w:val="en-GB"/>
          </w:rPr>
          <w:t>The OECD-DAC policy marker on the inclusion and empowerment of persons with disabilities: handbook for data reporters and users</w:t>
        </w:r>
      </w:hyperlink>
      <w:r>
        <w:rPr>
          <w:lang w:val="en-GB"/>
        </w:rPr>
        <w:t>, p.19</w:t>
      </w:r>
    </w:p>
  </w:footnote>
  <w:footnote w:id="12">
    <w:p w14:paraId="229DE3B8" w14:textId="77777777" w:rsidR="008E1DEF" w:rsidRDefault="00000000">
      <w:pPr>
        <w:pStyle w:val="Fotnotetekst"/>
        <w:rPr>
          <w:lang w:val="en-GB"/>
        </w:rPr>
      </w:pPr>
      <w:r>
        <w:rPr>
          <w:rStyle w:val="Fotnotereferanse"/>
          <w:lang w:val="en-GB"/>
        </w:rPr>
        <w:footnoteRef/>
      </w:r>
      <w:r>
        <w:rPr>
          <w:lang w:val="en-GB"/>
        </w:rPr>
        <w:t xml:space="preserve"> OECD-DAC, 2020, </w:t>
      </w:r>
      <w:hyperlink r:id="rId11" w:history="1">
        <w:r>
          <w:rPr>
            <w:rStyle w:val="Hyperkobling"/>
            <w:lang w:val="en-GB"/>
          </w:rPr>
          <w:t>The OECD-DAC policy marker on the inclusion and empowerment of persons with disabilities: handbook for data reporters and users</w:t>
        </w:r>
      </w:hyperlink>
      <w:r>
        <w:rPr>
          <w:lang w:val="en-GB"/>
        </w:rPr>
        <w:t>, p.19</w:t>
      </w:r>
    </w:p>
  </w:footnote>
  <w:footnote w:id="13">
    <w:p w14:paraId="1E35C005" w14:textId="77777777" w:rsidR="008E1DEF" w:rsidRDefault="00000000">
      <w:pPr>
        <w:pStyle w:val="Fotnotetekst"/>
        <w:rPr>
          <w:lang w:val="en-GB"/>
        </w:rPr>
      </w:pPr>
      <w:r>
        <w:rPr>
          <w:rStyle w:val="Fotnotereferanse"/>
          <w:lang w:val="en-GB"/>
        </w:rPr>
        <w:footnoteRef/>
      </w:r>
      <w:r>
        <w:rPr>
          <w:lang w:val="en-GB"/>
        </w:rPr>
        <w:t xml:space="preserve"> OECD-DAC, 2020, </w:t>
      </w:r>
      <w:hyperlink r:id="rId12" w:history="1">
        <w:r>
          <w:rPr>
            <w:rStyle w:val="Hyperkobling"/>
            <w:lang w:val="en-GB"/>
          </w:rPr>
          <w:t>The OECD-DAC policy marker on the inclusion and empowerment of persons with disabilities: handbook for data reporters and users</w:t>
        </w:r>
      </w:hyperlink>
      <w:r>
        <w:rPr>
          <w:lang w:val="en-GB"/>
        </w:rPr>
        <w:t>, p.4</w:t>
      </w:r>
    </w:p>
  </w:footnote>
  <w:footnote w:id="14">
    <w:p w14:paraId="55040576" w14:textId="721CAE17" w:rsidR="008E1DEF" w:rsidRDefault="00000000">
      <w:pPr>
        <w:pStyle w:val="Fotnotetekst"/>
        <w:rPr>
          <w:lang w:val="en-GB"/>
        </w:rPr>
      </w:pPr>
      <w:r>
        <w:rPr>
          <w:rStyle w:val="Fotnotereferanse"/>
        </w:rPr>
        <w:footnoteRef/>
      </w:r>
      <w:r>
        <w:t xml:space="preserve"> </w:t>
      </w:r>
      <w:r>
        <w:t xml:space="preserve">The </w:t>
      </w:r>
      <w:proofErr w:type="spellStart"/>
      <w:r>
        <w:rPr>
          <w:b/>
          <w:bCs/>
        </w:rPr>
        <w:t>extent</w:t>
      </w:r>
      <w:proofErr w:type="spellEnd"/>
      <w:r>
        <w:t xml:space="preserve"> to </w:t>
      </w:r>
      <w:proofErr w:type="spellStart"/>
      <w:r>
        <w:t>which</w:t>
      </w:r>
      <w:proofErr w:type="spellEnd"/>
      <w:r>
        <w:t xml:space="preserve"> the percentages </w:t>
      </w:r>
      <w:proofErr w:type="spellStart"/>
      <w:r>
        <w:t>would</w:t>
      </w:r>
      <w:proofErr w:type="spellEnd"/>
      <w:r>
        <w:t xml:space="preserve"> </w:t>
      </w:r>
      <w:proofErr w:type="spellStart"/>
      <w:r>
        <w:t>be</w:t>
      </w:r>
      <w:proofErr w:type="spellEnd"/>
      <w:r>
        <w:t xml:space="preserve"> </w:t>
      </w:r>
      <w:proofErr w:type="spellStart"/>
      <w:r>
        <w:t>lower</w:t>
      </w:r>
      <w:proofErr w:type="spellEnd"/>
      <w:r>
        <w:t xml:space="preserve"> </w:t>
      </w:r>
      <w:proofErr w:type="spellStart"/>
      <w:r>
        <w:t>is</w:t>
      </w:r>
      <w:proofErr w:type="spellEnd"/>
      <w:r>
        <w:t xml:space="preserve"> </w:t>
      </w:r>
      <w:proofErr w:type="spellStart"/>
      <w:r>
        <w:t>very</w:t>
      </w:r>
      <w:proofErr w:type="spellEnd"/>
      <w:r>
        <w:t xml:space="preserve"> sensitive to the </w:t>
      </w:r>
      <w:proofErr w:type="spellStart"/>
      <w:r>
        <w:t>OECD</w:t>
      </w:r>
      <w:proofErr w:type="spellEnd"/>
      <w:r>
        <w:t xml:space="preserve">-DAC </w:t>
      </w:r>
      <w:proofErr w:type="spellStart"/>
      <w:r>
        <w:t>member</w:t>
      </w:r>
      <w:proofErr w:type="spellEnd"/>
      <w:r>
        <w:t xml:space="preserve"> and the </w:t>
      </w:r>
      <w:proofErr w:type="spellStart"/>
      <w:r>
        <w:t>year</w:t>
      </w:r>
      <w:proofErr w:type="spellEnd"/>
      <w:r>
        <w:t xml:space="preserve"> in question, </w:t>
      </w:r>
      <w:proofErr w:type="spellStart"/>
      <w:r>
        <w:t>since</w:t>
      </w:r>
      <w:proofErr w:type="spellEnd"/>
      <w:r>
        <w:t xml:space="preserve"> </w:t>
      </w:r>
      <w:proofErr w:type="spellStart"/>
      <w:r>
        <w:t>spending</w:t>
      </w:r>
      <w:proofErr w:type="spellEnd"/>
      <w:r>
        <w:t xml:space="preserve"> on </w:t>
      </w:r>
      <w:proofErr w:type="spellStart"/>
      <w:r>
        <w:t>some</w:t>
      </w:r>
      <w:proofErr w:type="spellEnd"/>
      <w:r>
        <w:t xml:space="preserve"> types of non-</w:t>
      </w:r>
      <w:proofErr w:type="spellStart"/>
      <w:r>
        <w:t>allocable</w:t>
      </w:r>
      <w:proofErr w:type="spellEnd"/>
      <w:r>
        <w:t xml:space="preserve"> ODA are </w:t>
      </w:r>
      <w:proofErr w:type="spellStart"/>
      <w:r>
        <w:t>very</w:t>
      </w:r>
      <w:proofErr w:type="spellEnd"/>
      <w:r>
        <w:t xml:space="preserve"> </w:t>
      </w:r>
      <w:proofErr w:type="spellStart"/>
      <w:r>
        <w:t>prone</w:t>
      </w:r>
      <w:proofErr w:type="spellEnd"/>
      <w:r>
        <w:t xml:space="preserve"> to </w:t>
      </w:r>
      <w:proofErr w:type="spellStart"/>
      <w:r>
        <w:t>year</w:t>
      </w:r>
      <w:proofErr w:type="spellEnd"/>
      <w:r>
        <w:t>-on-</w:t>
      </w:r>
      <w:proofErr w:type="spellStart"/>
      <w:r>
        <w:t>year</w:t>
      </w:r>
      <w:proofErr w:type="spellEnd"/>
      <w:r>
        <w:t xml:space="preserve"> fluctuations. (Source : </w:t>
      </w:r>
      <w:proofErr w:type="spellStart"/>
      <w:r>
        <w:t>OECD</w:t>
      </w:r>
      <w:proofErr w:type="spellEnd"/>
      <w:r>
        <w:t xml:space="preserve">-DAC </w:t>
      </w:r>
      <w:hyperlink r:id="rId13" w:history="1">
        <w:proofErr w:type="spellStart"/>
        <w:r>
          <w:rPr>
            <w:rStyle w:val="Hyperkobling"/>
          </w:rPr>
          <w:t>Creditor</w:t>
        </w:r>
        <w:proofErr w:type="spellEnd"/>
        <w:r>
          <w:rPr>
            <w:rStyle w:val="Hyperkobling"/>
          </w:rPr>
          <w:t xml:space="preserve"> </w:t>
        </w:r>
        <w:proofErr w:type="spellStart"/>
        <w:r>
          <w:rPr>
            <w:rStyle w:val="Hyperkobling"/>
          </w:rPr>
          <w:t>Reporting</w:t>
        </w:r>
        <w:proofErr w:type="spellEnd"/>
        <w:r>
          <w:rPr>
            <w:rStyle w:val="Hyperkobling"/>
          </w:rPr>
          <w:t xml:space="preserve"> System</w:t>
        </w:r>
      </w:hyperlink>
      <w:r>
        <w:t xml:space="preserve">, </w:t>
      </w:r>
      <w:proofErr w:type="spellStart"/>
      <w:r>
        <w:t>analysis</w:t>
      </w:r>
      <w:proofErr w:type="spellEnd"/>
      <w:r>
        <w:t xml:space="preserve"> of </w:t>
      </w:r>
      <w:proofErr w:type="spellStart"/>
      <w:r>
        <w:t>commitments</w:t>
      </w:r>
      <w:proofErr w:type="spellEnd"/>
      <w:r>
        <w:t xml:space="preserve"> data in constant </w:t>
      </w:r>
      <w:proofErr w:type="spellStart"/>
      <w:r>
        <w:t>prices</w:t>
      </w:r>
      <w:proofErr w:type="spellEnd"/>
      <w:r>
        <w:t xml:space="preserve"> </w:t>
      </w:r>
      <w:proofErr w:type="spellStart"/>
      <w:r>
        <w:t>from</w:t>
      </w:r>
      <w:proofErr w:type="spellEnd"/>
      <w:r>
        <w:t xml:space="preserve"> 2012-2021 on (a) </w:t>
      </w:r>
      <w:proofErr w:type="spellStart"/>
      <w:r>
        <w:t>costs</w:t>
      </w:r>
      <w:proofErr w:type="spellEnd"/>
      <w:r>
        <w:t xml:space="preserve"> </w:t>
      </w:r>
      <w:proofErr w:type="spellStart"/>
      <w:r>
        <w:t>relating</w:t>
      </w:r>
      <w:proofErr w:type="spellEnd"/>
      <w:r>
        <w:t xml:space="preserve"> to </w:t>
      </w:r>
      <w:proofErr w:type="spellStart"/>
      <w:r>
        <w:t>hosting</w:t>
      </w:r>
      <w:proofErr w:type="spellEnd"/>
      <w:r>
        <w:t xml:space="preserve"> </w:t>
      </w:r>
      <w:proofErr w:type="spellStart"/>
      <w:r>
        <w:t>refugees</w:t>
      </w:r>
      <w:proofErr w:type="spellEnd"/>
      <w:r>
        <w:t xml:space="preserve">, and (b) </w:t>
      </w:r>
      <w:proofErr w:type="spellStart"/>
      <w:r>
        <w:t>debt</w:t>
      </w:r>
      <w:proofErr w:type="spellEnd"/>
      <w:r>
        <w:t xml:space="preserve"> relief). In </w:t>
      </w:r>
      <w:proofErr w:type="spellStart"/>
      <w:r>
        <w:t>those</w:t>
      </w:r>
      <w:proofErr w:type="spellEnd"/>
      <w:r>
        <w:t xml:space="preserve"> </w:t>
      </w:r>
      <w:proofErr w:type="spellStart"/>
      <w:r>
        <w:t>years</w:t>
      </w:r>
      <w:proofErr w:type="spellEnd"/>
      <w:r>
        <w:t xml:space="preserve"> </w:t>
      </w:r>
      <w:proofErr w:type="spellStart"/>
      <w:r>
        <w:t>where</w:t>
      </w:r>
      <w:proofErr w:type="spellEnd"/>
      <w:r>
        <w:t xml:space="preserve"> </w:t>
      </w:r>
      <w:proofErr w:type="spellStart"/>
      <w:r>
        <w:t>such</w:t>
      </w:r>
      <w:proofErr w:type="spellEnd"/>
      <w:r>
        <w:t xml:space="preserve"> </w:t>
      </w:r>
      <w:proofErr w:type="spellStart"/>
      <w:r>
        <w:t>spending</w:t>
      </w:r>
      <w:proofErr w:type="spellEnd"/>
      <w:r>
        <w:t xml:space="preserve"> </w:t>
      </w:r>
      <w:proofErr w:type="spellStart"/>
      <w:r>
        <w:t>is</w:t>
      </w:r>
      <w:proofErr w:type="spellEnd"/>
      <w:r>
        <w:t xml:space="preserve"> high, the </w:t>
      </w:r>
      <w:proofErr w:type="spellStart"/>
      <w:r>
        <w:t>OECD-DAC’s</w:t>
      </w:r>
      <w:proofErr w:type="spellEnd"/>
      <w:r>
        <w:t xml:space="preserve"> </w:t>
      </w:r>
      <w:proofErr w:type="spellStart"/>
      <w:r>
        <w:t>approach</w:t>
      </w:r>
      <w:proofErr w:type="spellEnd"/>
      <w:r>
        <w:t xml:space="preserve"> of </w:t>
      </w:r>
      <w:proofErr w:type="spellStart"/>
      <w:r>
        <w:t>excluding</w:t>
      </w:r>
      <w:proofErr w:type="spellEnd"/>
      <w:r>
        <w:t xml:space="preserve"> non-</w:t>
      </w:r>
      <w:proofErr w:type="spellStart"/>
      <w:r>
        <w:t>allocable</w:t>
      </w:r>
      <w:proofErr w:type="spellEnd"/>
      <w:r>
        <w:t xml:space="preserve"> ODA </w:t>
      </w:r>
      <w:proofErr w:type="spellStart"/>
      <w:r>
        <w:t>from</w:t>
      </w:r>
      <w:proofErr w:type="spellEnd"/>
      <w:r>
        <w:t xml:space="preserve"> the </w:t>
      </w:r>
      <w:proofErr w:type="spellStart"/>
      <w:r>
        <w:t>calculations</w:t>
      </w:r>
      <w:proofErr w:type="spellEnd"/>
      <w:r>
        <w:t xml:space="preserve"> on the </w:t>
      </w:r>
      <w:proofErr w:type="spellStart"/>
      <w:r>
        <w:t>disability</w:t>
      </w:r>
      <w:proofErr w:type="spellEnd"/>
      <w:r>
        <w:t xml:space="preserve"> inclusion </w:t>
      </w:r>
      <w:proofErr w:type="spellStart"/>
      <w:r>
        <w:t>policy</w:t>
      </w:r>
      <w:proofErr w:type="spellEnd"/>
      <w:r>
        <w:t xml:space="preserve"> marker </w:t>
      </w:r>
      <w:proofErr w:type="spellStart"/>
      <w:r>
        <w:t>could</w:t>
      </w:r>
      <w:proofErr w:type="spellEnd"/>
      <w:r>
        <w:t xml:space="preserve"> </w:t>
      </w:r>
      <w:proofErr w:type="spellStart"/>
      <w:r>
        <w:t>potentially</w:t>
      </w:r>
      <w:proofErr w:type="spellEnd"/>
      <w:r>
        <w:t xml:space="preserve"> have a </w:t>
      </w:r>
      <w:proofErr w:type="spellStart"/>
      <w:r>
        <w:t>substantial</w:t>
      </w:r>
      <w:proofErr w:type="spellEnd"/>
      <w:r>
        <w:t xml:space="preserve"> </w:t>
      </w:r>
      <w:proofErr w:type="spellStart"/>
      <w:r>
        <w:t>effect</w:t>
      </w:r>
      <w:proofErr w:type="spellEnd"/>
      <w:r>
        <w:t xml:space="preserve"> on the </w:t>
      </w:r>
      <w:proofErr w:type="spellStart"/>
      <w:r>
        <w:t>results</w:t>
      </w:r>
      <w:proofErr w:type="spellEnd"/>
      <w:r>
        <w:t>.</w:t>
      </w:r>
    </w:p>
  </w:footnote>
  <w:footnote w:id="15">
    <w:p w14:paraId="6BA966C1" w14:textId="127FA85C" w:rsidR="008E1DEF" w:rsidRDefault="00000000">
      <w:pPr>
        <w:pStyle w:val="Fotnotetekst"/>
        <w:rPr>
          <w:lang w:val="en-GB"/>
        </w:rPr>
      </w:pPr>
      <w:r>
        <w:rPr>
          <w:rStyle w:val="Fotnotereferanse"/>
        </w:rPr>
        <w:footnoteRef/>
      </w:r>
      <w:r>
        <w:t xml:space="preserve"> </w:t>
      </w:r>
      <w:r>
        <w:t>A</w:t>
      </w:r>
      <w:proofErr w:type="spellStart"/>
      <w:r>
        <w:rPr>
          <w:lang w:val="en-GB"/>
        </w:rPr>
        <w:t>s</w:t>
      </w:r>
      <w:proofErr w:type="spellEnd"/>
      <w:r>
        <w:rPr>
          <w:lang w:val="en-GB"/>
        </w:rPr>
        <w:t xml:space="preserve"> things stand, the OECD-DAC’s dataset on core contributions to multilateral agencies does not include the disability inclusion policy marker. (Source: OECD-DAC, ‘</w:t>
      </w:r>
      <w:hyperlink r:id="rId14" w:history="1">
        <w:r>
          <w:rPr>
            <w:rStyle w:val="Hyperkobling"/>
            <w:lang w:val="en-GB"/>
          </w:rPr>
          <w:t>Members’ total use of the multilateral system</w:t>
        </w:r>
      </w:hyperlink>
      <w:r>
        <w:rPr>
          <w:lang w:val="en-GB"/>
        </w:rPr>
        <w:t>’, data on ‘core contributions to’, downloaded on a commitments basis).</w:t>
      </w:r>
    </w:p>
  </w:footnote>
  <w:footnote w:id="16">
    <w:p w14:paraId="6C84BB14" w14:textId="77777777" w:rsidR="008E1DEF" w:rsidRDefault="00000000">
      <w:pPr>
        <w:pStyle w:val="Fotnotetekst"/>
        <w:rPr>
          <w:lang w:val="en-GB"/>
        </w:rPr>
      </w:pPr>
      <w:r>
        <w:rPr>
          <w:rStyle w:val="Fotnotereferanse"/>
          <w:lang w:val="en-GB"/>
        </w:rPr>
        <w:footnoteRef/>
      </w:r>
      <w:r>
        <w:rPr>
          <w:lang w:val="en-GB"/>
        </w:rPr>
        <w:t xml:space="preserve"> Source: author’s analysis of OECD-DAC </w:t>
      </w:r>
      <w:hyperlink r:id="rId15" w:history="1">
        <w:r>
          <w:rPr>
            <w:rStyle w:val="Hyperkobling"/>
            <w:lang w:val="en-GB"/>
          </w:rPr>
          <w:t>Creditor Reporting System</w:t>
        </w:r>
      </w:hyperlink>
      <w:r>
        <w:rPr>
          <w:lang w:val="en-GB"/>
        </w:rPr>
        <w:t xml:space="preserve"> database data on ODA commitments in 2021 – the most recent year for which data are available. Data were downloaded in January 2023.</w:t>
      </w:r>
    </w:p>
  </w:footnote>
  <w:footnote w:id="17">
    <w:p w14:paraId="3B09D97D" w14:textId="77777777" w:rsidR="008E1DEF" w:rsidRDefault="00000000">
      <w:pPr>
        <w:pStyle w:val="Fotnotetekst"/>
        <w:rPr>
          <w:lang w:val="en-GB"/>
        </w:rPr>
      </w:pPr>
      <w:r>
        <w:rPr>
          <w:rStyle w:val="Fotnotereferanse"/>
          <w:lang w:val="en-GB"/>
        </w:rPr>
        <w:footnoteRef/>
      </w:r>
      <w:r>
        <w:rPr>
          <w:lang w:val="en-GB"/>
        </w:rPr>
        <w:t xml:space="preserve"> Berman-Bieler and </w:t>
      </w:r>
      <w:proofErr w:type="spellStart"/>
      <w:r>
        <w:rPr>
          <w:lang w:val="en-GB"/>
        </w:rPr>
        <w:t>Takona</w:t>
      </w:r>
      <w:proofErr w:type="spellEnd"/>
      <w:r>
        <w:rPr>
          <w:lang w:val="en-GB"/>
        </w:rPr>
        <w:t xml:space="preserve">/UNICEF, 2021, </w:t>
      </w:r>
      <w:hyperlink r:id="rId16" w:history="1">
        <w:r>
          <w:rPr>
            <w:rStyle w:val="Hyperkobling"/>
            <w:lang w:val="en-GB"/>
          </w:rPr>
          <w:t xml:space="preserve">Connecting expenditure to results for children with disabilities through </w:t>
        </w:r>
        <w:proofErr w:type="spellStart"/>
        <w:r>
          <w:rPr>
            <w:rStyle w:val="Hyperkobling"/>
            <w:lang w:val="en-GB"/>
          </w:rPr>
          <w:t>PIDB</w:t>
        </w:r>
        <w:proofErr w:type="spellEnd"/>
        <w:r>
          <w:rPr>
            <w:rStyle w:val="Hyperkobling"/>
            <w:lang w:val="en-GB"/>
          </w:rPr>
          <w:t xml:space="preserve"> codes and the disability tag</w:t>
        </w:r>
      </w:hyperlink>
    </w:p>
  </w:footnote>
  <w:footnote w:id="18">
    <w:p w14:paraId="03E9678E" w14:textId="77777777" w:rsidR="008E1DEF" w:rsidRDefault="00000000">
      <w:pPr>
        <w:spacing w:after="0" w:line="240" w:lineRule="auto"/>
        <w:rPr>
          <w:sz w:val="20"/>
          <w:szCs w:val="20"/>
          <w:lang w:val="en-GB"/>
        </w:rPr>
      </w:pPr>
      <w:r>
        <w:rPr>
          <w:rStyle w:val="Fotnotereferanse"/>
          <w:sz w:val="20"/>
          <w:szCs w:val="20"/>
          <w:lang w:val="en-GB"/>
        </w:rPr>
        <w:footnoteRef/>
      </w:r>
      <w:r>
        <w:rPr>
          <w:sz w:val="20"/>
          <w:szCs w:val="20"/>
          <w:lang w:val="en-GB"/>
        </w:rPr>
        <w:t xml:space="preserve"> </w:t>
      </w:r>
      <w:bookmarkStart w:id="8" w:name="_Hlk121110678"/>
      <w:r>
        <w:rPr>
          <w:sz w:val="20"/>
          <w:szCs w:val="20"/>
          <w:lang w:val="en-GB"/>
        </w:rPr>
        <w:t xml:space="preserve">Hyde Townsend / Ford Foundation, 2021, </w:t>
      </w:r>
      <w:hyperlink r:id="rId17" w:history="1">
        <w:r>
          <w:rPr>
            <w:rStyle w:val="Hyperkobling"/>
            <w:sz w:val="20"/>
            <w:szCs w:val="20"/>
            <w:lang w:val="en-GB"/>
          </w:rPr>
          <w:t>Progress towards equity: disability inclusion coding</w:t>
        </w:r>
      </w:hyperlink>
      <w:bookmarkEnd w:id="8"/>
    </w:p>
  </w:footnote>
  <w:footnote w:id="19">
    <w:p w14:paraId="2C366F94" w14:textId="77777777" w:rsidR="008E1DEF" w:rsidRDefault="00000000">
      <w:pPr>
        <w:pStyle w:val="Fotnotetekst"/>
        <w:rPr>
          <w:lang w:val="en-GB"/>
        </w:rPr>
      </w:pPr>
      <w:r>
        <w:rPr>
          <w:rStyle w:val="Fotnotereferanse"/>
          <w:lang w:val="en-GB"/>
        </w:rPr>
        <w:footnoteRef/>
      </w:r>
      <w:r>
        <w:rPr>
          <w:lang w:val="en-GB"/>
        </w:rPr>
        <w:t xml:space="preserve"> For example United Nations, </w:t>
      </w:r>
      <w:hyperlink r:id="rId18" w:history="1">
        <w:r>
          <w:rPr>
            <w:rStyle w:val="Hyperkobling"/>
            <w:lang w:val="en-GB"/>
          </w:rPr>
          <w:t>Report of the Secretary General : Disability inclusion in the United Nations System - 2021 programme year</w:t>
        </w:r>
      </w:hyperlink>
      <w:r>
        <w:rPr>
          <w:lang w:val="en-GB"/>
        </w:rPr>
        <w:t>, p.35</w:t>
      </w:r>
    </w:p>
  </w:footnote>
  <w:footnote w:id="20">
    <w:p w14:paraId="3F63550F" w14:textId="77777777" w:rsidR="008E1DEF" w:rsidRDefault="00000000">
      <w:pPr>
        <w:pStyle w:val="Fotnotetekst"/>
        <w:rPr>
          <w:lang w:val="en-GB"/>
        </w:rPr>
      </w:pPr>
      <w:r>
        <w:rPr>
          <w:rStyle w:val="Fotnotereferanse"/>
          <w:lang w:val="en-GB"/>
        </w:rPr>
        <w:footnoteRef/>
      </w:r>
      <w:r>
        <w:rPr>
          <w:lang w:val="en-GB"/>
        </w:rPr>
        <w:t xml:space="preserve"> Inter-Agency Standing Committee, </w:t>
      </w:r>
      <w:hyperlink r:id="rId19" w:history="1">
        <w:r>
          <w:rPr>
            <w:rStyle w:val="Hyperkobling"/>
            <w:lang w:val="en-GB"/>
          </w:rPr>
          <w:t>Gender with Age Marker</w:t>
        </w:r>
      </w:hyperlink>
    </w:p>
  </w:footnote>
  <w:footnote w:id="21">
    <w:p w14:paraId="60C3078D" w14:textId="77777777" w:rsidR="008E1DEF" w:rsidRDefault="00000000">
      <w:pPr>
        <w:pStyle w:val="Sluttnotetekst"/>
        <w:rPr>
          <w:lang w:val="en-GB"/>
        </w:rPr>
      </w:pPr>
      <w:r>
        <w:rPr>
          <w:rStyle w:val="Fotnotereferanse"/>
          <w:lang w:val="en-GB"/>
        </w:rPr>
        <w:footnoteRef/>
      </w:r>
      <w:r>
        <w:rPr>
          <w:lang w:val="en-GB"/>
        </w:rPr>
        <w:t xml:space="preserve"> Ecuadorian Ministry of Economy and Finance, </w:t>
      </w:r>
      <w:hyperlink r:id="rId20" w:history="1">
        <w:proofErr w:type="spellStart"/>
        <w:r>
          <w:rPr>
            <w:rStyle w:val="Hyperkobling"/>
            <w:lang w:val="en-GB"/>
          </w:rPr>
          <w:t>Clasificadores</w:t>
        </w:r>
        <w:proofErr w:type="spellEnd"/>
        <w:r>
          <w:rPr>
            <w:rStyle w:val="Hyperkobling"/>
            <w:lang w:val="en-GB"/>
          </w:rPr>
          <w:t xml:space="preserve"> </w:t>
        </w:r>
        <w:proofErr w:type="spellStart"/>
        <w:r>
          <w:rPr>
            <w:rStyle w:val="Hyperkobling"/>
            <w:lang w:val="en-GB"/>
          </w:rPr>
          <w:t>orientadores</w:t>
        </w:r>
        <w:proofErr w:type="spellEnd"/>
        <w:r>
          <w:rPr>
            <w:rStyle w:val="Hyperkobling"/>
            <w:lang w:val="en-GB"/>
          </w:rPr>
          <w:t xml:space="preserve"> de </w:t>
        </w:r>
        <w:proofErr w:type="spellStart"/>
        <w:r>
          <w:rPr>
            <w:rStyle w:val="Hyperkobling"/>
            <w:lang w:val="en-GB"/>
          </w:rPr>
          <w:t>gasto</w:t>
        </w:r>
        <w:proofErr w:type="spellEnd"/>
        <w:r>
          <w:rPr>
            <w:rStyle w:val="Hyperkobling"/>
            <w:lang w:val="en-GB"/>
          </w:rPr>
          <w:t xml:space="preserve"> </w:t>
        </w:r>
        <w:proofErr w:type="spellStart"/>
        <w:r>
          <w:rPr>
            <w:rStyle w:val="Hyperkobling"/>
            <w:lang w:val="en-GB"/>
          </w:rPr>
          <w:t>en</w:t>
        </w:r>
        <w:proofErr w:type="spellEnd"/>
        <w:r>
          <w:rPr>
            <w:rStyle w:val="Hyperkobling"/>
            <w:lang w:val="en-GB"/>
          </w:rPr>
          <w:t xml:space="preserve"> </w:t>
        </w:r>
        <w:proofErr w:type="spellStart"/>
        <w:r>
          <w:rPr>
            <w:rStyle w:val="Hyperkobling"/>
            <w:lang w:val="en-GB"/>
          </w:rPr>
          <w:t>políticas</w:t>
        </w:r>
        <w:proofErr w:type="spellEnd"/>
        <w:r>
          <w:rPr>
            <w:rStyle w:val="Hyperkobling"/>
            <w:lang w:val="en-GB"/>
          </w:rPr>
          <w:t xml:space="preserve"> de </w:t>
        </w:r>
        <w:proofErr w:type="spellStart"/>
        <w:r>
          <w:rPr>
            <w:rStyle w:val="Hyperkobling"/>
            <w:lang w:val="en-GB"/>
          </w:rPr>
          <w:t>igualdad</w:t>
        </w:r>
        <w:proofErr w:type="spellEnd"/>
        <w:r>
          <w:rPr>
            <w:rStyle w:val="Hyperkobling"/>
            <w:lang w:val="en-GB"/>
          </w:rPr>
          <w:t xml:space="preserve"> y </w:t>
        </w:r>
        <w:proofErr w:type="spellStart"/>
        <w:r>
          <w:rPr>
            <w:rStyle w:val="Hyperkobling"/>
            <w:lang w:val="en-GB"/>
          </w:rPr>
          <w:t>ambiente</w:t>
        </w:r>
        <w:proofErr w:type="spellEnd"/>
      </w:hyperlink>
      <w:r>
        <w:rPr>
          <w:lang w:val="en-GB"/>
        </w:rPr>
        <w:t>, p.2</w:t>
      </w:r>
    </w:p>
  </w:footnote>
  <w:footnote w:id="22">
    <w:p w14:paraId="350583AA" w14:textId="77777777" w:rsidR="008E1DEF" w:rsidRDefault="00000000">
      <w:pPr>
        <w:pStyle w:val="Fotnotetekst"/>
        <w:rPr>
          <w:lang w:val="en-GB"/>
        </w:rPr>
      </w:pPr>
      <w:r>
        <w:rPr>
          <w:rStyle w:val="Fotnotereferanse"/>
          <w:lang w:val="en-GB"/>
        </w:rPr>
        <w:footnoteRef/>
      </w:r>
      <w:r>
        <w:rPr>
          <w:lang w:val="en-GB"/>
        </w:rPr>
        <w:t xml:space="preserve"> Democratic Republic of Timor-Leste, </w:t>
      </w:r>
      <w:hyperlink r:id="rId21" w:history="1">
        <w:r>
          <w:rPr>
            <w:rStyle w:val="Hyperkobling"/>
            <w:lang w:val="en-GB"/>
          </w:rPr>
          <w:t>General State Budget 2022</w:t>
        </w:r>
      </w:hyperlink>
      <w:r>
        <w:rPr>
          <w:lang w:val="en-GB"/>
        </w:rPr>
        <w:t>, Book 1, p.15</w:t>
      </w:r>
    </w:p>
  </w:footnote>
  <w:footnote w:id="23">
    <w:p w14:paraId="2F98E9A0" w14:textId="77777777" w:rsidR="008E1DEF" w:rsidRDefault="00000000">
      <w:pPr>
        <w:pStyle w:val="Fotnotetekst"/>
        <w:rPr>
          <w:lang w:val="en-GB"/>
        </w:rPr>
      </w:pPr>
      <w:r>
        <w:rPr>
          <w:rStyle w:val="Fotnotereferanse"/>
          <w:lang w:val="en-GB"/>
        </w:rPr>
        <w:footnoteRef/>
      </w:r>
      <w:r>
        <w:rPr>
          <w:lang w:val="en-GB"/>
        </w:rPr>
        <w:t xml:space="preserve"> Source: author’s analysis of OECD-DAC </w:t>
      </w:r>
      <w:hyperlink r:id="rId22" w:history="1">
        <w:r>
          <w:rPr>
            <w:rStyle w:val="Hyperkobling"/>
            <w:lang w:val="en-GB"/>
          </w:rPr>
          <w:t>Creditor Reporting System</w:t>
        </w:r>
      </w:hyperlink>
      <w:r>
        <w:rPr>
          <w:lang w:val="en-GB"/>
        </w:rPr>
        <w:t xml:space="preserve"> database data on allocable ODA commitments in 2021. Data were downloaded in January 2023. Negative commitments were excluded from the analysis. The analysis is based on the number of projects, not the value of spending. </w:t>
      </w:r>
    </w:p>
  </w:footnote>
  <w:footnote w:id="24">
    <w:p w14:paraId="05AB536E" w14:textId="77777777" w:rsidR="008E1DEF" w:rsidRDefault="00000000">
      <w:pPr>
        <w:pStyle w:val="Fotnotetekst"/>
        <w:rPr>
          <w:lang w:val="en-GB"/>
        </w:rPr>
      </w:pPr>
      <w:r>
        <w:rPr>
          <w:rStyle w:val="Fotnotereferanse"/>
          <w:lang w:val="en-GB"/>
        </w:rPr>
        <w:footnoteRef/>
      </w:r>
      <w:r>
        <w:rPr>
          <w:lang w:val="en-GB"/>
        </w:rPr>
        <w:t xml:space="preserve"> OECD-DAC, 2020, </w:t>
      </w:r>
      <w:hyperlink r:id="rId23" w:history="1">
        <w:r>
          <w:rPr>
            <w:rStyle w:val="Hyperkobling"/>
            <w:lang w:val="en-GB"/>
          </w:rPr>
          <w:t>The OECD-DAC policy marker on the inclusion and empowerment of persons with disabilities: handbook for data reporters and users</w:t>
        </w:r>
      </w:hyperlink>
      <w:r>
        <w:rPr>
          <w:lang w:val="en-GB"/>
        </w:rPr>
        <w:t>, p.13</w:t>
      </w:r>
    </w:p>
  </w:footnote>
  <w:footnote w:id="25">
    <w:p w14:paraId="18AC45F5" w14:textId="77777777" w:rsidR="008E1DEF" w:rsidRDefault="00000000">
      <w:pPr>
        <w:pStyle w:val="Fotnotetekst"/>
        <w:rPr>
          <w:lang w:val="en-GB"/>
        </w:rPr>
      </w:pPr>
      <w:r>
        <w:rPr>
          <w:rStyle w:val="Fotnotereferanse"/>
          <w:lang w:val="en-GB"/>
        </w:rPr>
        <w:footnoteRef/>
      </w:r>
      <w:r>
        <w:rPr>
          <w:lang w:val="en-GB"/>
        </w:rPr>
        <w:t xml:space="preserve"> Baumgarten/CBM Switzerland, 2021, </w:t>
      </w:r>
      <w:hyperlink r:id="rId24" w:history="1">
        <w:r>
          <w:rPr>
            <w:rStyle w:val="Hyperkobling"/>
            <w:lang w:val="en-GB"/>
          </w:rPr>
          <w:t>Factsheet: OECD DAC disability policy marker and its application in Switzerland’s ODA reporting</w:t>
        </w:r>
      </w:hyperlink>
      <w:r>
        <w:rPr>
          <w:lang w:val="en-GB"/>
        </w:rPr>
        <w:t>, p.5</w:t>
      </w:r>
    </w:p>
  </w:footnote>
  <w:footnote w:id="26">
    <w:p w14:paraId="240474D0" w14:textId="77777777" w:rsidR="008E1DEF" w:rsidRDefault="00000000">
      <w:pPr>
        <w:pStyle w:val="Fotnotetekst"/>
        <w:rPr>
          <w:lang w:val="en-GB"/>
        </w:rPr>
      </w:pPr>
      <w:r>
        <w:rPr>
          <w:rStyle w:val="Fotnotereferanse"/>
          <w:lang w:val="en-GB"/>
        </w:rPr>
        <w:footnoteRef/>
      </w:r>
      <w:r>
        <w:rPr>
          <w:lang w:val="en-GB"/>
        </w:rPr>
        <w:t xml:space="preserve"> Out of 12 markers, only the markers on disability inclusion and nutrition – the most recent two markers to be introduced – are optional. (Source: OECD-DAC, 2020, </w:t>
      </w:r>
      <w:hyperlink r:id="rId25" w:history="1">
        <w:r>
          <w:rPr>
            <w:rStyle w:val="Hyperkobling"/>
            <w:lang w:val="en-GB"/>
          </w:rPr>
          <w:t xml:space="preserve">Assessing the policy objectives of development co-operation activities: review of the reporting status, use and relevance of Rio and policy </w:t>
        </w:r>
        <w:proofErr w:type="spellStart"/>
        <w:r>
          <w:rPr>
            <w:rStyle w:val="Hyperkobling"/>
            <w:lang w:val="en-GB"/>
          </w:rPr>
          <w:t>markers</w:t>
        </w:r>
        <w:proofErr w:type="spellEnd"/>
        <w:r>
          <w:rPr>
            <w:rStyle w:val="Hyperkobling"/>
            <w:lang w:val="en-GB"/>
          </w:rPr>
          <w:t xml:space="preserve"> – conclusions and recommendations</w:t>
        </w:r>
      </w:hyperlink>
      <w:r>
        <w:rPr>
          <w:lang w:val="en-GB"/>
        </w:rPr>
        <w:t xml:space="preserve">, paragraphs 7 and 9). </w:t>
      </w:r>
    </w:p>
  </w:footnote>
  <w:footnote w:id="27">
    <w:p w14:paraId="5A021ADD" w14:textId="77777777" w:rsidR="008E1DEF" w:rsidRDefault="00000000">
      <w:pPr>
        <w:pStyle w:val="Fotnotetekst"/>
        <w:rPr>
          <w:lang w:val="en-GB"/>
        </w:rPr>
      </w:pPr>
      <w:r>
        <w:rPr>
          <w:rStyle w:val="Fotnotereferanse"/>
          <w:lang w:val="en-GB"/>
        </w:rPr>
        <w:footnoteRef/>
      </w:r>
      <w:r>
        <w:rPr>
          <w:lang w:val="en-GB"/>
        </w:rPr>
        <w:t xml:space="preserve"> OECD-DAC, 2020, </w:t>
      </w:r>
      <w:hyperlink r:id="rId26" w:history="1">
        <w:r>
          <w:rPr>
            <w:rStyle w:val="Hyperkobling"/>
            <w:lang w:val="en-GB"/>
          </w:rPr>
          <w:t xml:space="preserve">Assessing the policy objectives of development co-operation activities: review of the reporting status, use and relevance of Rio and policy </w:t>
        </w:r>
        <w:proofErr w:type="spellStart"/>
        <w:r>
          <w:rPr>
            <w:rStyle w:val="Hyperkobling"/>
            <w:lang w:val="en-GB"/>
          </w:rPr>
          <w:t>markers</w:t>
        </w:r>
        <w:proofErr w:type="spellEnd"/>
        <w:r>
          <w:rPr>
            <w:rStyle w:val="Hyperkobling"/>
            <w:lang w:val="en-GB"/>
          </w:rPr>
          <w:t xml:space="preserve"> – conclusions and recommendations</w:t>
        </w:r>
      </w:hyperlink>
      <w:r>
        <w:rPr>
          <w:lang w:val="en-GB"/>
        </w:rPr>
        <w:t>, paragraph 41, and implied by first bullet of recommendation 4 on p.21.</w:t>
      </w:r>
    </w:p>
  </w:footnote>
  <w:footnote w:id="28">
    <w:p w14:paraId="1DCD7F2E" w14:textId="77777777" w:rsidR="008E1DEF" w:rsidRDefault="00000000">
      <w:pPr>
        <w:pStyle w:val="Fotnotetekst"/>
        <w:rPr>
          <w:lang w:val="en-GB"/>
        </w:rPr>
      </w:pPr>
      <w:r>
        <w:rPr>
          <w:rStyle w:val="Fotnotereferanse"/>
          <w:lang w:val="en-GB"/>
        </w:rPr>
        <w:footnoteRef/>
      </w:r>
      <w:r>
        <w:rPr>
          <w:lang w:val="en-GB"/>
        </w:rPr>
        <w:t xml:space="preserve"> For a taste of some of the ways in which the data have been used by a range of stakeholders, see Opportunity 2 below (the examples in that section are not exhaustive). </w:t>
      </w:r>
    </w:p>
  </w:footnote>
  <w:footnote w:id="29">
    <w:p w14:paraId="6F94DAF4" w14:textId="77777777" w:rsidR="008E1DEF" w:rsidRDefault="00000000">
      <w:pPr>
        <w:pStyle w:val="Fotnotetekst"/>
        <w:rPr>
          <w:lang w:val="en-GB"/>
        </w:rPr>
      </w:pPr>
      <w:r>
        <w:rPr>
          <w:rStyle w:val="Fotnotereferanse"/>
          <w:lang w:val="en-GB"/>
        </w:rPr>
        <w:footnoteRef/>
      </w:r>
      <w:r>
        <w:rPr>
          <w:lang w:val="en-GB"/>
        </w:rPr>
        <w:t xml:space="preserve"> For example, on gender equality, the OECD-DAC publishes regular analyses of key trends (e.g. OECD-DAC, 2022, </w:t>
      </w:r>
      <w:hyperlink r:id="rId27" w:history="1">
        <w:r>
          <w:rPr>
            <w:rStyle w:val="Hyperkobling"/>
            <w:lang w:val="en-GB"/>
          </w:rPr>
          <w:t xml:space="preserve">Development finance for gender equality and women’s </w:t>
        </w:r>
        <w:proofErr w:type="gramStart"/>
        <w:r>
          <w:rPr>
            <w:rStyle w:val="Hyperkobling"/>
            <w:lang w:val="en-GB"/>
          </w:rPr>
          <w:t>empowerment :</w:t>
        </w:r>
        <w:proofErr w:type="gramEnd"/>
        <w:r>
          <w:rPr>
            <w:rStyle w:val="Hyperkobling"/>
            <w:lang w:val="en-GB"/>
          </w:rPr>
          <w:t xml:space="preserve"> a snapshot</w:t>
        </w:r>
      </w:hyperlink>
      <w:r>
        <w:rPr>
          <w:lang w:val="en-GB"/>
        </w:rPr>
        <w:t>)</w:t>
      </w:r>
    </w:p>
  </w:footnote>
  <w:footnote w:id="30">
    <w:p w14:paraId="3CA0BB47" w14:textId="77777777" w:rsidR="008E1DEF" w:rsidRDefault="00000000">
      <w:pPr>
        <w:pStyle w:val="Fotnotetekst"/>
        <w:rPr>
          <w:lang w:val="en-GB"/>
        </w:rPr>
      </w:pPr>
      <w:r>
        <w:rPr>
          <w:rStyle w:val="Fotnotereferanse"/>
          <w:lang w:val="en-GB"/>
        </w:rPr>
        <w:footnoteRef/>
      </w:r>
      <w:r>
        <w:rPr>
          <w:lang w:val="en-GB"/>
        </w:rPr>
        <w:t xml:space="preserve"> Office of the High Commissioner for Human Rights, </w:t>
      </w:r>
      <w:hyperlink r:id="rId28" w:history="1">
        <w:r>
          <w:rPr>
            <w:rStyle w:val="Hyperkobling"/>
            <w:lang w:val="en-GB"/>
          </w:rPr>
          <w:t>Article 32: illustrative indicators on international cooperation</w:t>
        </w:r>
      </w:hyperlink>
      <w:r>
        <w:rPr>
          <w:lang w:val="en-GB"/>
        </w:rPr>
        <w:t xml:space="preserve">, indicators 32.11 and 32.14; Office of the High Commissioner for Human Rights, </w:t>
      </w:r>
      <w:hyperlink r:id="rId29" w:history="1">
        <w:r>
          <w:rPr>
            <w:rStyle w:val="Hyperkobling"/>
            <w:lang w:val="en-GB"/>
          </w:rPr>
          <w:t>Data sources for outcome indicators on Article 32: international cooperation</w:t>
        </w:r>
      </w:hyperlink>
      <w:r>
        <w:rPr>
          <w:lang w:val="en-GB"/>
        </w:rPr>
        <w:t>, indicators 32.11 and 32.14</w:t>
      </w:r>
    </w:p>
  </w:footnote>
  <w:footnote w:id="31">
    <w:p w14:paraId="5E77B031" w14:textId="58A58EFD" w:rsidR="008E1DEF" w:rsidRDefault="00000000">
      <w:pPr>
        <w:pStyle w:val="Fotnotetekst"/>
        <w:rPr>
          <w:lang w:val="en-GB"/>
        </w:rPr>
      </w:pPr>
      <w:r>
        <w:rPr>
          <w:rStyle w:val="Fotnotereferanse"/>
          <w:lang w:val="en-GB"/>
        </w:rPr>
        <w:footnoteRef/>
      </w:r>
      <w:r>
        <w:rPr>
          <w:lang w:val="en-GB"/>
        </w:rPr>
        <w:t xml:space="preserve"> Except the European Union, which counts as a bilateral institution for most OECD-DAC purposes</w:t>
      </w:r>
    </w:p>
  </w:footnote>
  <w:footnote w:id="32">
    <w:p w14:paraId="122EF4CA" w14:textId="42B0A69A" w:rsidR="008E1DEF" w:rsidRDefault="00000000">
      <w:pPr>
        <w:pStyle w:val="Fotnotetekst"/>
        <w:rPr>
          <w:lang w:val="en-GB"/>
        </w:rPr>
      </w:pPr>
      <w:r>
        <w:rPr>
          <w:rStyle w:val="Fotnotereferanse"/>
          <w:lang w:val="en-GB"/>
        </w:rPr>
        <w:footnoteRef/>
      </w:r>
      <w:r>
        <w:rPr>
          <w:lang w:val="en-GB"/>
        </w:rPr>
        <w:t xml:space="preserve"> Source: author’s analysis of OECD-DAC Creditor Reporting System database data for 2021, on a commitments basis. Data were downloaded in February 2023.</w:t>
      </w:r>
    </w:p>
  </w:footnote>
  <w:footnote w:id="33">
    <w:p w14:paraId="7D3D5759" w14:textId="77777777" w:rsidR="008E1DEF" w:rsidRDefault="00000000">
      <w:pPr>
        <w:pStyle w:val="Fotnotetekst"/>
        <w:rPr>
          <w:lang w:val="en-GB"/>
        </w:rPr>
      </w:pPr>
      <w:r>
        <w:rPr>
          <w:rStyle w:val="Fotnotereferanse"/>
          <w:lang w:val="en-GB"/>
        </w:rPr>
        <w:footnoteRef/>
      </w:r>
      <w:r>
        <w:rPr>
          <w:lang w:val="en-GB"/>
        </w:rPr>
        <w:t xml:space="preserve"> For example, it would largely be possible to map both UNICEF and the Ford Foundation’s disability markers to the OECD-DAC disability inclusion policy marker. (Sources: analysis of Berman-Bieler and </w:t>
      </w:r>
      <w:proofErr w:type="spellStart"/>
      <w:r>
        <w:rPr>
          <w:lang w:val="en-GB"/>
        </w:rPr>
        <w:t>Takona</w:t>
      </w:r>
      <w:proofErr w:type="spellEnd"/>
      <w:r>
        <w:rPr>
          <w:lang w:val="en-GB"/>
        </w:rPr>
        <w:t xml:space="preserve">/UNICEF, 2021, </w:t>
      </w:r>
      <w:hyperlink r:id="rId30" w:history="1">
        <w:r>
          <w:rPr>
            <w:rStyle w:val="Hyperkobling"/>
            <w:lang w:val="en-GB"/>
          </w:rPr>
          <w:t xml:space="preserve">Connecting expenditure to results for children with disabilities through </w:t>
        </w:r>
        <w:proofErr w:type="spellStart"/>
        <w:r>
          <w:rPr>
            <w:rStyle w:val="Hyperkobling"/>
            <w:lang w:val="en-GB"/>
          </w:rPr>
          <w:t>PIDB</w:t>
        </w:r>
        <w:proofErr w:type="spellEnd"/>
        <w:r>
          <w:rPr>
            <w:rStyle w:val="Hyperkobling"/>
            <w:lang w:val="en-GB"/>
          </w:rPr>
          <w:t xml:space="preserve"> codes and the disability tag</w:t>
        </w:r>
      </w:hyperlink>
      <w:r>
        <w:rPr>
          <w:rStyle w:val="Hyperkobling"/>
          <w:lang w:val="en-GB"/>
        </w:rPr>
        <w:t xml:space="preserve">, </w:t>
      </w:r>
      <w:r>
        <w:rPr>
          <w:lang w:val="en-GB"/>
        </w:rPr>
        <w:t xml:space="preserve">Slide 5 ; and Hyde Townsend / Ford Foundation, 2021, </w:t>
      </w:r>
      <w:hyperlink r:id="rId31" w:history="1">
        <w:r>
          <w:rPr>
            <w:rStyle w:val="Hyperkobling"/>
            <w:lang w:val="en-GB"/>
          </w:rPr>
          <w:t>Progress towards equity: disability inclusion coding</w:t>
        </w:r>
      </w:hyperlink>
      <w:r>
        <w:rPr>
          <w:lang w:val="en-GB"/>
        </w:rPr>
        <w:t>, slide 2).</w:t>
      </w:r>
    </w:p>
  </w:footnote>
  <w:footnote w:id="34">
    <w:p w14:paraId="354CF941" w14:textId="77777777" w:rsidR="008E1DEF" w:rsidRDefault="00000000">
      <w:pPr>
        <w:pStyle w:val="Fotnotetekst"/>
        <w:rPr>
          <w:lang w:val="en-GB"/>
        </w:rPr>
      </w:pPr>
      <w:r>
        <w:rPr>
          <w:rStyle w:val="Fotnotereferanse"/>
          <w:lang w:val="en-GB"/>
        </w:rPr>
        <w:footnoteRef/>
      </w:r>
      <w:r>
        <w:rPr>
          <w:lang w:val="en-GB"/>
        </w:rPr>
        <w:t xml:space="preserve">  Based on author’s understanding, other organisations with disability markers do not publicly report marker results to the same degree of granularity as is possible through the OECD-DAC database. See also discussion on UNICEF, UNHCR and the World Bank in in </w:t>
      </w:r>
      <w:proofErr w:type="spellStart"/>
      <w:r>
        <w:rPr>
          <w:lang w:val="en-GB"/>
        </w:rPr>
        <w:t>Christophersen</w:t>
      </w:r>
      <w:proofErr w:type="spellEnd"/>
      <w:r>
        <w:rPr>
          <w:lang w:val="en-GB"/>
        </w:rPr>
        <w:t xml:space="preserve">, </w:t>
      </w:r>
      <w:proofErr w:type="spellStart"/>
      <w:r>
        <w:rPr>
          <w:lang w:val="en-GB"/>
        </w:rPr>
        <w:t>Bjørkhaug</w:t>
      </w:r>
      <w:proofErr w:type="spellEnd"/>
      <w:r>
        <w:rPr>
          <w:lang w:val="en-GB"/>
        </w:rPr>
        <w:t xml:space="preserve"> and </w:t>
      </w:r>
      <w:proofErr w:type="spellStart"/>
      <w:r>
        <w:rPr>
          <w:lang w:val="en-GB"/>
        </w:rPr>
        <w:t>Tiltnes</w:t>
      </w:r>
      <w:proofErr w:type="spellEnd"/>
      <w:r>
        <w:rPr>
          <w:lang w:val="en-GB"/>
        </w:rPr>
        <w:t>/</w:t>
      </w:r>
      <w:proofErr w:type="spellStart"/>
      <w:r>
        <w:rPr>
          <w:lang w:val="en-GB"/>
        </w:rPr>
        <w:t>Fafo</w:t>
      </w:r>
      <w:proofErr w:type="spellEnd"/>
      <w:r>
        <w:rPr>
          <w:lang w:val="en-GB"/>
        </w:rPr>
        <w:t xml:space="preserve">, 2022, </w:t>
      </w:r>
      <w:hyperlink r:id="rId32" w:history="1">
        <w:r>
          <w:rPr>
            <w:rStyle w:val="Hyperkobling"/>
            <w:lang w:val="en-GB"/>
          </w:rPr>
          <w:t>Tracking disability inclusion in multilateral organisations</w:t>
        </w:r>
      </w:hyperlink>
      <w:r>
        <w:rPr>
          <w:lang w:val="en-GB"/>
        </w:rPr>
        <w:t>, section 2.7.</w:t>
      </w:r>
    </w:p>
  </w:footnote>
  <w:footnote w:id="35">
    <w:p w14:paraId="6502F945" w14:textId="77777777" w:rsidR="008E1DEF" w:rsidRDefault="00000000">
      <w:pPr>
        <w:pStyle w:val="Fotnotetekst"/>
        <w:rPr>
          <w:lang w:val="en-GB"/>
        </w:rPr>
      </w:pPr>
      <w:r>
        <w:rPr>
          <w:rStyle w:val="Fotnotereferanse"/>
          <w:lang w:val="en-GB"/>
        </w:rPr>
        <w:footnoteRef/>
      </w:r>
      <w:r>
        <w:rPr>
          <w:lang w:val="en-GB"/>
        </w:rPr>
        <w:t xml:space="preserve"> For a related recommendation, see OECD-DAC, 2020, </w:t>
      </w:r>
      <w:hyperlink r:id="rId33" w:history="1">
        <w:r>
          <w:rPr>
            <w:rStyle w:val="Hyperkobling"/>
            <w:lang w:val="en-GB"/>
          </w:rPr>
          <w:t xml:space="preserve">Assessing the policy objectives of development co-operation activities: review of the reporting status, use and relevance of Rio and policy </w:t>
        </w:r>
        <w:proofErr w:type="spellStart"/>
        <w:r>
          <w:rPr>
            <w:rStyle w:val="Hyperkobling"/>
            <w:lang w:val="en-GB"/>
          </w:rPr>
          <w:t>markers</w:t>
        </w:r>
        <w:proofErr w:type="spellEnd"/>
        <w:r>
          <w:rPr>
            <w:rStyle w:val="Hyperkobling"/>
            <w:lang w:val="en-GB"/>
          </w:rPr>
          <w:t xml:space="preserve"> – conclusions and recommendations</w:t>
        </w:r>
      </w:hyperlink>
      <w:r>
        <w:rPr>
          <w:lang w:val="en-GB"/>
        </w:rPr>
        <w:t xml:space="preserve">, recommendation 3 on pp.20-21. See also discussion in </w:t>
      </w:r>
      <w:proofErr w:type="spellStart"/>
      <w:r>
        <w:rPr>
          <w:lang w:val="en-GB"/>
        </w:rPr>
        <w:t>Christophersen</w:t>
      </w:r>
      <w:proofErr w:type="spellEnd"/>
      <w:r>
        <w:rPr>
          <w:lang w:val="en-GB"/>
        </w:rPr>
        <w:t xml:space="preserve">, </w:t>
      </w:r>
      <w:proofErr w:type="spellStart"/>
      <w:r>
        <w:rPr>
          <w:lang w:val="en-GB"/>
        </w:rPr>
        <w:t>Bjørkhaug</w:t>
      </w:r>
      <w:proofErr w:type="spellEnd"/>
      <w:r>
        <w:rPr>
          <w:lang w:val="en-GB"/>
        </w:rPr>
        <w:t xml:space="preserve"> and </w:t>
      </w:r>
      <w:proofErr w:type="spellStart"/>
      <w:r>
        <w:rPr>
          <w:lang w:val="en-GB"/>
        </w:rPr>
        <w:t>Tiltnes</w:t>
      </w:r>
      <w:proofErr w:type="spellEnd"/>
      <w:r>
        <w:rPr>
          <w:lang w:val="en-GB"/>
        </w:rPr>
        <w:t>/</w:t>
      </w:r>
      <w:proofErr w:type="spellStart"/>
      <w:r>
        <w:rPr>
          <w:lang w:val="en-GB"/>
        </w:rPr>
        <w:t>Fafo</w:t>
      </w:r>
      <w:proofErr w:type="spellEnd"/>
      <w:r>
        <w:rPr>
          <w:lang w:val="en-GB"/>
        </w:rPr>
        <w:t xml:space="preserve">, 2022, </w:t>
      </w:r>
      <w:hyperlink r:id="rId34" w:history="1">
        <w:r>
          <w:rPr>
            <w:rStyle w:val="Hyperkobling"/>
            <w:lang w:val="en-GB"/>
          </w:rPr>
          <w:t>Tracking disability inclusion in multilateral organisations</w:t>
        </w:r>
      </w:hyperlink>
      <w:r>
        <w:rPr>
          <w:lang w:val="en-GB"/>
        </w:rPr>
        <w:t>, section 2.2</w:t>
      </w:r>
    </w:p>
  </w:footnote>
  <w:footnote w:id="36">
    <w:p w14:paraId="3E21B0EC" w14:textId="4AC4CE18" w:rsidR="008E1DEF" w:rsidRDefault="00000000">
      <w:pPr>
        <w:pStyle w:val="Fotnotetekst"/>
        <w:rPr>
          <w:lang w:val="en-GB"/>
        </w:rPr>
      </w:pPr>
      <w:r>
        <w:rPr>
          <w:rStyle w:val="Fotnotereferanse"/>
          <w:lang w:val="en-GB"/>
        </w:rPr>
        <w:footnoteRef/>
      </w:r>
      <w:r>
        <w:rPr>
          <w:lang w:val="en-GB"/>
        </w:rPr>
        <w:t xml:space="preserve"> Source: author’s analysis of OECD-DAC </w:t>
      </w:r>
      <w:hyperlink r:id="rId35" w:history="1">
        <w:r>
          <w:rPr>
            <w:rStyle w:val="Hyperkobling"/>
            <w:lang w:val="en-GB"/>
          </w:rPr>
          <w:t>Creditor Reporting System</w:t>
        </w:r>
      </w:hyperlink>
      <w:r>
        <w:rPr>
          <w:lang w:val="en-GB"/>
        </w:rPr>
        <w:t xml:space="preserve"> database data on allocable ODA commitments in 2021. Data were downloaded in January 2023. Negative commitments were excluded from the analysis. The analysis is based on the number of projects, not the value of spending. The analysis covers ODA in all sectors – both development cooperation and humanitarian action.</w:t>
      </w:r>
    </w:p>
  </w:footnote>
  <w:footnote w:id="37">
    <w:p w14:paraId="2D8D13F2" w14:textId="77777777" w:rsidR="008E1DEF" w:rsidRDefault="00000000">
      <w:pPr>
        <w:pStyle w:val="Fotnotetekst"/>
        <w:rPr>
          <w:lang w:val="en-GB"/>
        </w:rPr>
      </w:pPr>
      <w:r>
        <w:rPr>
          <w:rStyle w:val="Fotnotereferanse"/>
          <w:lang w:val="en-GB"/>
        </w:rPr>
        <w:footnoteRef/>
      </w:r>
      <w:r>
        <w:rPr>
          <w:lang w:val="en-GB"/>
        </w:rPr>
        <w:t xml:space="preserve"> Source: author’s analysis of OECD-DAC </w:t>
      </w:r>
      <w:hyperlink r:id="rId36" w:history="1">
        <w:r>
          <w:rPr>
            <w:rStyle w:val="Hyperkobling"/>
            <w:lang w:val="en-GB"/>
          </w:rPr>
          <w:t>Creditor Reporting System</w:t>
        </w:r>
      </w:hyperlink>
      <w:r>
        <w:rPr>
          <w:lang w:val="en-GB"/>
        </w:rPr>
        <w:t xml:space="preserve"> database data on allocable ODA commitments in 2020 and 2019. Data were downloaded in January 2023. Negative commitments were excluded from the analysis. The analysis is based on the number of projects, not the value of spending.</w:t>
      </w:r>
    </w:p>
  </w:footnote>
  <w:footnote w:id="38">
    <w:p w14:paraId="3EB0F1F9" w14:textId="0BC8CC7D" w:rsidR="008E1DEF" w:rsidRDefault="00000000">
      <w:pPr>
        <w:pStyle w:val="Fotnotetekst"/>
        <w:rPr>
          <w:lang w:val="en-GB"/>
        </w:rPr>
      </w:pPr>
      <w:r>
        <w:rPr>
          <w:rStyle w:val="Fotnotereferanse"/>
          <w:lang w:val="en-GB"/>
        </w:rPr>
        <w:footnoteRef/>
      </w:r>
      <w:r>
        <w:rPr>
          <w:lang w:val="en-GB"/>
        </w:rPr>
        <w:t xml:space="preserve"> </w:t>
      </w:r>
      <w:proofErr w:type="spellStart"/>
      <w:r>
        <w:rPr>
          <w:lang w:val="en-GB"/>
        </w:rPr>
        <w:t>Sightsavers</w:t>
      </w:r>
      <w:proofErr w:type="spellEnd"/>
      <w:r>
        <w:rPr>
          <w:lang w:val="en-GB"/>
        </w:rPr>
        <w:t>, forthcoming</w:t>
      </w:r>
    </w:p>
  </w:footnote>
  <w:footnote w:id="39">
    <w:p w14:paraId="1842E5F6" w14:textId="77777777" w:rsidR="008E1DEF" w:rsidRDefault="00000000">
      <w:pPr>
        <w:pStyle w:val="Fotnotetekst"/>
        <w:rPr>
          <w:lang w:val="en-GB"/>
        </w:rPr>
      </w:pPr>
      <w:r>
        <w:rPr>
          <w:rStyle w:val="Fotnotereferanse"/>
          <w:lang w:val="en-GB"/>
        </w:rPr>
        <w:footnoteRef/>
      </w:r>
      <w:r>
        <w:rPr>
          <w:lang w:val="en-GB"/>
        </w:rPr>
        <w:t xml:space="preserve"> OECD-DAC, 2020, </w:t>
      </w:r>
      <w:hyperlink r:id="rId37" w:history="1">
        <w:r>
          <w:rPr>
            <w:rStyle w:val="Hyperkobling"/>
            <w:lang w:val="en-GB"/>
          </w:rPr>
          <w:t>The OECD-DAC policy marker on the inclusion and empowerment of persons with disabilities: handbook for data reporters and users</w:t>
        </w:r>
      </w:hyperlink>
      <w:r>
        <w:rPr>
          <w:lang w:val="en-GB"/>
        </w:rPr>
        <w:t>, p.22</w:t>
      </w:r>
    </w:p>
  </w:footnote>
  <w:footnote w:id="40">
    <w:p w14:paraId="22E8C459" w14:textId="77777777" w:rsidR="008E1DEF" w:rsidRDefault="00000000">
      <w:pPr>
        <w:pStyle w:val="Fotnotetekst"/>
        <w:rPr>
          <w:lang w:val="en-GB"/>
        </w:rPr>
      </w:pPr>
      <w:r>
        <w:rPr>
          <w:rStyle w:val="Fotnotereferanse"/>
          <w:lang w:val="en-GB"/>
        </w:rPr>
        <w:footnoteRef/>
      </w:r>
      <w:r>
        <w:rPr>
          <w:lang w:val="en-GB"/>
        </w:rPr>
        <w:t xml:space="preserve"> Larsen and Nilsson/NIDS, 2021, </w:t>
      </w:r>
      <w:hyperlink r:id="rId38" w:history="1">
        <w:r>
          <w:rPr>
            <w:rStyle w:val="Hyperkobling"/>
            <w:lang w:val="en-GB"/>
          </w:rPr>
          <w:t>Mapping of Norwegian efforts to include persons with disabilities in development assistance, 2010-2019</w:t>
        </w:r>
      </w:hyperlink>
      <w:r>
        <w:rPr>
          <w:lang w:val="en-GB"/>
        </w:rPr>
        <w:t xml:space="preserve">, pp. 17, 18, 20, 21, 23, and for example the paragraph on humanitarian action on p.39. As noted above, the detailed numbers in the mapping study are not directly comparable with those used in this report, due to differences in underlying source data, in unit of analysis (spending vs. number of projects) and in methodological details. Still, the mapping study is a good illustration of the kinds of sector-specific insights that the disability inclusion policy marker can bring. </w:t>
      </w:r>
    </w:p>
  </w:footnote>
  <w:footnote w:id="41">
    <w:p w14:paraId="56C15808" w14:textId="77777777" w:rsidR="008E1DEF" w:rsidRDefault="00000000">
      <w:pPr>
        <w:pStyle w:val="Fotnotetekst"/>
        <w:rPr>
          <w:lang w:val="en-GB"/>
        </w:rPr>
      </w:pPr>
      <w:r>
        <w:rPr>
          <w:rStyle w:val="Fotnotereferanse"/>
          <w:lang w:val="en-GB"/>
        </w:rPr>
        <w:footnoteRef/>
      </w:r>
      <w:r>
        <w:rPr>
          <w:lang w:val="en-GB"/>
        </w:rPr>
        <w:t xml:space="preserve"> Baumgarten/CBM Switzerland, 2021, </w:t>
      </w:r>
      <w:hyperlink r:id="rId39" w:history="1">
        <w:r>
          <w:rPr>
            <w:rStyle w:val="Hyperkobling"/>
            <w:lang w:val="en-GB"/>
          </w:rPr>
          <w:t>Factsheet: OECD DAC disability policy marker and its application in Switzerland’s ODA reporting</w:t>
        </w:r>
      </w:hyperlink>
      <w:r>
        <w:rPr>
          <w:lang w:val="en-GB"/>
        </w:rPr>
        <w:t>, pp.3 and 4</w:t>
      </w:r>
    </w:p>
  </w:footnote>
  <w:footnote w:id="42">
    <w:p w14:paraId="525B129B" w14:textId="77777777" w:rsidR="008E1DEF" w:rsidRDefault="00000000">
      <w:pPr>
        <w:pStyle w:val="Fotnotetekst"/>
        <w:rPr>
          <w:lang w:val="en-GB"/>
        </w:rPr>
      </w:pPr>
      <w:r>
        <w:rPr>
          <w:rStyle w:val="Fotnotereferanse"/>
          <w:lang w:val="en-GB"/>
        </w:rPr>
        <w:footnoteRef/>
      </w:r>
      <w:r>
        <w:rPr>
          <w:lang w:val="en-GB"/>
        </w:rPr>
        <w:t xml:space="preserve"> European Disability Forum, 2022, </w:t>
      </w:r>
      <w:hyperlink r:id="rId40" w:history="1">
        <w:r>
          <w:rPr>
            <w:rStyle w:val="Hyperkobling"/>
            <w:lang w:val="en-GB"/>
          </w:rPr>
          <w:t>Annual report: EC spending on disability inclusion in global actions 2018-2020: analysis of data from the OECD-DAC disability policy marker</w:t>
        </w:r>
      </w:hyperlink>
      <w:r>
        <w:rPr>
          <w:lang w:val="en-GB"/>
        </w:rPr>
        <w:t>, p.10</w:t>
      </w:r>
    </w:p>
  </w:footnote>
  <w:footnote w:id="43">
    <w:p w14:paraId="6F63EA02" w14:textId="21E2DFBC" w:rsidR="008E1DEF" w:rsidRDefault="00000000">
      <w:pPr>
        <w:pStyle w:val="Fotnotetekst"/>
        <w:rPr>
          <w:lang w:val="en-GB"/>
        </w:rPr>
      </w:pPr>
      <w:r>
        <w:rPr>
          <w:rStyle w:val="Fotnotereferanse"/>
          <w:lang w:val="en-GB"/>
        </w:rPr>
        <w:footnoteRef/>
      </w:r>
      <w:r>
        <w:rPr>
          <w:lang w:val="en-GB"/>
        </w:rPr>
        <w:t xml:space="preserve"> The </w:t>
      </w:r>
      <w:hyperlink r:id="rId41" w:history="1">
        <w:r>
          <w:rPr>
            <w:rStyle w:val="Hyperkobling"/>
            <w:lang w:val="en-GB"/>
          </w:rPr>
          <w:t>Mapping of Norwegian efforts to include persons with disabilities in development assistance, 2010-2019</w:t>
        </w:r>
      </w:hyperlink>
      <w:r>
        <w:rPr>
          <w:lang w:val="en-GB"/>
        </w:rPr>
        <w:t xml:space="preserve"> similarly looks at the intersection between the disability inclusion policy marker and the gender equality policy marker. The mapping found that only 1% of spending with a principal objective on gender equality also had positive scores on the disability inclusion policy marker (p.23).</w:t>
      </w:r>
    </w:p>
  </w:footnote>
  <w:footnote w:id="44">
    <w:p w14:paraId="0AE5AD23" w14:textId="77777777" w:rsidR="008E1DEF" w:rsidRDefault="00000000">
      <w:pPr>
        <w:pStyle w:val="Fotnotetekst"/>
        <w:rPr>
          <w:lang w:val="en-GB"/>
        </w:rPr>
      </w:pPr>
      <w:r>
        <w:rPr>
          <w:rStyle w:val="Fotnotereferanse"/>
          <w:lang w:val="en-GB"/>
        </w:rPr>
        <w:footnoteRef/>
      </w:r>
      <w:r>
        <w:rPr>
          <w:lang w:val="en-GB"/>
        </w:rPr>
        <w:t xml:space="preserve"> Analysis to be published as part of a wider review of disability inclusion policy marker data by CBM Global and allies, forthcoming.</w:t>
      </w:r>
    </w:p>
  </w:footnote>
  <w:footnote w:id="45">
    <w:p w14:paraId="5F80AEF0" w14:textId="627DF1C2" w:rsidR="008E1DEF" w:rsidRDefault="00000000">
      <w:pPr>
        <w:pStyle w:val="Fotnotetekst"/>
        <w:rPr>
          <w:lang w:val="en-GB"/>
        </w:rPr>
      </w:pPr>
      <w:r>
        <w:rPr>
          <w:rStyle w:val="Fotnotereferanse"/>
          <w:lang w:val="en-GB"/>
        </w:rPr>
        <w:footnoteRef/>
      </w:r>
      <w:r>
        <w:rPr>
          <w:lang w:val="en-GB"/>
        </w:rPr>
        <w:t xml:space="preserve"> For more discussion on this point, see CBM Global and allies, forthcoming.</w:t>
      </w:r>
    </w:p>
  </w:footnote>
  <w:footnote w:id="46">
    <w:p w14:paraId="282FCF9D" w14:textId="77777777" w:rsidR="008E1DEF" w:rsidRDefault="00000000">
      <w:pPr>
        <w:pStyle w:val="Fotnotetekst"/>
        <w:rPr>
          <w:lang w:val="en-GB"/>
        </w:rPr>
      </w:pPr>
      <w:r>
        <w:rPr>
          <w:rStyle w:val="Fotnotereferanse"/>
          <w:lang w:val="en-GB"/>
        </w:rPr>
        <w:footnoteRef/>
      </w:r>
      <w:r>
        <w:rPr>
          <w:lang w:val="en-GB"/>
        </w:rPr>
        <w:t xml:space="preserve"> Hannah </w:t>
      </w:r>
      <w:proofErr w:type="spellStart"/>
      <w:r>
        <w:rPr>
          <w:lang w:val="en-GB"/>
        </w:rPr>
        <w:t>Loryman</w:t>
      </w:r>
      <w:proofErr w:type="spellEnd"/>
      <w:r>
        <w:rPr>
          <w:lang w:val="en-GB"/>
        </w:rPr>
        <w:t xml:space="preserve"> (</w:t>
      </w:r>
      <w:proofErr w:type="spellStart"/>
      <w:r>
        <w:rPr>
          <w:lang w:val="en-GB"/>
        </w:rPr>
        <w:t>Sightsavers</w:t>
      </w:r>
      <w:proofErr w:type="spellEnd"/>
      <w:r>
        <w:rPr>
          <w:lang w:val="en-GB"/>
        </w:rPr>
        <w:t>), presentation at a webinar organised by UN Women in 2021.</w:t>
      </w:r>
    </w:p>
  </w:footnote>
  <w:footnote w:id="47">
    <w:p w14:paraId="4D3C80D8" w14:textId="77777777" w:rsidR="008E1DEF" w:rsidRDefault="00000000">
      <w:pPr>
        <w:pStyle w:val="Fotnotetekst"/>
        <w:rPr>
          <w:lang w:val="en-GB"/>
        </w:rPr>
      </w:pPr>
      <w:r>
        <w:rPr>
          <w:rStyle w:val="Fotnotereferanse"/>
          <w:lang w:val="en-GB"/>
        </w:rPr>
        <w:footnoteRef/>
      </w:r>
      <w:r>
        <w:rPr>
          <w:lang w:val="en-GB"/>
        </w:rPr>
        <w:t xml:space="preserve"> See for example Grabowski and </w:t>
      </w:r>
      <w:proofErr w:type="spellStart"/>
      <w:r>
        <w:rPr>
          <w:lang w:val="en-GB"/>
        </w:rPr>
        <w:t>Essick</w:t>
      </w:r>
      <w:proofErr w:type="spellEnd"/>
      <w:r>
        <w:rPr>
          <w:lang w:val="en-GB"/>
        </w:rPr>
        <w:t xml:space="preserve">/Oxfam, 2020, </w:t>
      </w:r>
      <w:hyperlink r:id="rId42" w:history="1">
        <w:r>
          <w:rPr>
            <w:rStyle w:val="Hyperkobling"/>
            <w:lang w:val="en-GB"/>
          </w:rPr>
          <w:t>Are they really gender equality projects? An examination of donors’ gender-mainstreamed and gender equality-focused projects to assess the quality of gender-marked projects</w:t>
        </w:r>
      </w:hyperlink>
      <w:r>
        <w:rPr>
          <w:lang w:val="en-GB"/>
        </w:rPr>
        <w:t>.</w:t>
      </w:r>
    </w:p>
  </w:footnote>
  <w:footnote w:id="48">
    <w:p w14:paraId="2527AAE6" w14:textId="20328197" w:rsidR="008E1DEF" w:rsidRDefault="00000000">
      <w:pPr>
        <w:pStyle w:val="Fotnotetekst"/>
        <w:rPr>
          <w:lang w:val="en-GB"/>
        </w:rPr>
      </w:pPr>
      <w:r>
        <w:rPr>
          <w:rStyle w:val="Fotnotereferanse"/>
          <w:lang w:val="en-GB"/>
        </w:rPr>
        <w:footnoteRef/>
      </w:r>
      <w:r>
        <w:rPr>
          <w:lang w:val="en-GB"/>
        </w:rPr>
        <w:t xml:space="preserve"> Larsen and Nilsson/NIDS, 2021, </w:t>
      </w:r>
      <w:hyperlink r:id="rId43" w:history="1">
        <w:r>
          <w:rPr>
            <w:rStyle w:val="Hyperkobling"/>
            <w:lang w:val="en-GB"/>
          </w:rPr>
          <w:t>Mapping of Norwegian efforts to include persons with disabilities in development assistance, 2010-2019</w:t>
        </w:r>
      </w:hyperlink>
      <w:r>
        <w:rPr>
          <w:lang w:val="en-GB"/>
        </w:rPr>
        <w:t xml:space="preserve">, p.12 and section 2.4.2 on pp.13-14. A 2022 evaluation of Norway’s inclusion of persons with disabilities in development cooperation also commented that, as a result of review by the evaluators, some marked codes had been revised downwards (source: Watkins, </w:t>
      </w:r>
      <w:proofErr w:type="spellStart"/>
      <w:r>
        <w:rPr>
          <w:lang w:val="en-GB"/>
        </w:rPr>
        <w:t>Christopolos</w:t>
      </w:r>
      <w:proofErr w:type="spellEnd"/>
      <w:r>
        <w:rPr>
          <w:lang w:val="en-GB"/>
        </w:rPr>
        <w:t xml:space="preserve"> and others/</w:t>
      </w:r>
      <w:proofErr w:type="spellStart"/>
      <w:r>
        <w:rPr>
          <w:lang w:val="en-GB"/>
        </w:rPr>
        <w:t>NIDAS</w:t>
      </w:r>
      <w:proofErr w:type="spellEnd"/>
      <w:r>
        <w:rPr>
          <w:lang w:val="en-GB"/>
        </w:rPr>
        <w:t xml:space="preserve">, 2022, </w:t>
      </w:r>
      <w:hyperlink r:id="rId44" w:history="1">
        <w:r>
          <w:rPr>
            <w:rStyle w:val="Hyperkobling"/>
            <w:lang w:val="en-GB"/>
          </w:rPr>
          <w:t>Evaluation of persons with disabilities in development cooperation</w:t>
        </w:r>
      </w:hyperlink>
      <w:r>
        <w:rPr>
          <w:lang w:val="en-GB"/>
        </w:rPr>
        <w:t>, p.22)</w:t>
      </w:r>
    </w:p>
  </w:footnote>
  <w:footnote w:id="49">
    <w:p w14:paraId="7DD3F784" w14:textId="77777777" w:rsidR="008E1DEF" w:rsidRDefault="00000000">
      <w:pPr>
        <w:pStyle w:val="Fotnotetekst"/>
        <w:rPr>
          <w:lang w:val="en-GB"/>
        </w:rPr>
      </w:pPr>
      <w:r>
        <w:rPr>
          <w:rStyle w:val="Fotnotereferanse"/>
          <w:lang w:val="en-GB"/>
        </w:rPr>
        <w:footnoteRef/>
      </w:r>
      <w:r>
        <w:rPr>
          <w:lang w:val="en-GB"/>
        </w:rPr>
        <w:t xml:space="preserve"> CBM Global and allies, research on the disability inclusion policy marker, forthcoming</w:t>
      </w:r>
    </w:p>
  </w:footnote>
  <w:footnote w:id="50">
    <w:p w14:paraId="47CB8B79" w14:textId="77777777" w:rsidR="008E1DEF" w:rsidRDefault="00000000">
      <w:pPr>
        <w:pStyle w:val="Fotnotetekst"/>
        <w:rPr>
          <w:lang w:val="en-GB"/>
        </w:rPr>
      </w:pPr>
      <w:r>
        <w:rPr>
          <w:rStyle w:val="Fotnotereferanse"/>
          <w:lang w:val="en-GB"/>
        </w:rPr>
        <w:footnoteRef/>
      </w:r>
      <w:r>
        <w:rPr>
          <w:lang w:val="en-GB"/>
        </w:rPr>
        <w:t xml:space="preserve"> OECD-DAC, 2020, </w:t>
      </w:r>
      <w:hyperlink r:id="rId45" w:history="1">
        <w:r>
          <w:rPr>
            <w:rStyle w:val="Hyperkobling"/>
            <w:lang w:val="en-GB"/>
          </w:rPr>
          <w:t>The OECD-DAC policy marker on the inclusion and empowerment of persons with disabilities: handbook for data reporters and users</w:t>
        </w:r>
      </w:hyperlink>
      <w:r>
        <w:rPr>
          <w:lang w:val="en-GB"/>
        </w:rPr>
        <w:t>, p.22</w:t>
      </w:r>
    </w:p>
  </w:footnote>
  <w:footnote w:id="51">
    <w:p w14:paraId="66B278FF" w14:textId="77777777" w:rsidR="008E1DEF" w:rsidRDefault="00000000">
      <w:pPr>
        <w:pStyle w:val="Fotnotetekst"/>
        <w:rPr>
          <w:lang w:val="en-GB"/>
        </w:rPr>
      </w:pPr>
      <w:r>
        <w:rPr>
          <w:rStyle w:val="Fotnotereferanse"/>
          <w:lang w:val="en-GB"/>
        </w:rPr>
        <w:footnoteRef/>
      </w:r>
      <w:r>
        <w:rPr>
          <w:lang w:val="en-GB"/>
        </w:rPr>
        <w:t xml:space="preserve"> Hyde Townsend / Ford Foundation, 2021, </w:t>
      </w:r>
      <w:hyperlink r:id="rId46" w:history="1">
        <w:r>
          <w:rPr>
            <w:rStyle w:val="Hyperkobling"/>
            <w:lang w:val="en-GB"/>
          </w:rPr>
          <w:t>Progress towards equity: disability inclusion coding</w:t>
        </w:r>
      </w:hyperlink>
      <w:r>
        <w:rPr>
          <w:lang w:val="en-GB"/>
        </w:rPr>
        <w:t>, slide 5</w:t>
      </w:r>
    </w:p>
  </w:footnote>
  <w:footnote w:id="52">
    <w:p w14:paraId="67D8B8E2" w14:textId="77777777" w:rsidR="008E1DEF" w:rsidRDefault="00000000">
      <w:pPr>
        <w:pStyle w:val="Fotnotetekst"/>
        <w:rPr>
          <w:lang w:val="en-GB"/>
        </w:rPr>
      </w:pPr>
      <w:r>
        <w:rPr>
          <w:rStyle w:val="Fotnotereferanse"/>
          <w:lang w:val="en-GB"/>
        </w:rPr>
        <w:footnoteRef/>
      </w:r>
      <w:r>
        <w:rPr>
          <w:lang w:val="en-GB"/>
        </w:rPr>
        <w:t xml:space="preserve"> United Nations System Chief Executives Board for Coordination, 2018, </w:t>
      </w:r>
      <w:hyperlink r:id="rId47" w:history="1">
        <w:r>
          <w:rPr>
            <w:rStyle w:val="Hyperkobling"/>
            <w:lang w:val="en-GB"/>
          </w:rPr>
          <w:t>Quality assurance of gender equality markers : improving accuracy and consistency - guidance note</w:t>
        </w:r>
      </w:hyperlink>
    </w:p>
  </w:footnote>
  <w:footnote w:id="53">
    <w:p w14:paraId="0039A5AD" w14:textId="77777777" w:rsidR="008E1DEF" w:rsidRDefault="00000000">
      <w:pPr>
        <w:pStyle w:val="Fotnotetekst"/>
        <w:rPr>
          <w:lang w:val="en-GB"/>
        </w:rPr>
      </w:pPr>
      <w:r>
        <w:rPr>
          <w:rStyle w:val="Fotnotereferanse"/>
          <w:lang w:val="en-GB"/>
        </w:rPr>
        <w:footnoteRef/>
      </w:r>
      <w:r>
        <w:rPr>
          <w:lang w:val="en-GB"/>
        </w:rPr>
        <w:t xml:space="preserve"> Inter-Agency Standing Committee, 2013, </w:t>
      </w:r>
      <w:hyperlink r:id="rId48" w:history="1">
        <w:proofErr w:type="spellStart"/>
        <w:r>
          <w:rPr>
            <w:rStyle w:val="Hyperkobling"/>
            <w:lang w:val="en-GB"/>
          </w:rPr>
          <w:t>IASC</w:t>
        </w:r>
        <w:proofErr w:type="spellEnd"/>
        <w:r>
          <w:rPr>
            <w:rStyle w:val="Hyperkobling"/>
            <w:lang w:val="en-GB"/>
          </w:rPr>
          <w:t xml:space="preserve"> gender marker: analysis of results and lessons learned</w:t>
        </w:r>
      </w:hyperlink>
      <w:r>
        <w:rPr>
          <w:lang w:val="en-GB"/>
        </w:rPr>
        <w:t xml:space="preserve">, pp.16, 18-20; Inter-Agency Standing Committee, 2011, </w:t>
      </w:r>
      <w:hyperlink r:id="rId49" w:history="1">
        <w:r>
          <w:rPr>
            <w:rStyle w:val="Hyperkobling"/>
            <w:lang w:val="en-GB"/>
          </w:rPr>
          <w:t xml:space="preserve">Gender marker in </w:t>
        </w:r>
        <w:proofErr w:type="spellStart"/>
        <w:r>
          <w:rPr>
            <w:rStyle w:val="Hyperkobling"/>
            <w:lang w:val="en-GB"/>
          </w:rPr>
          <w:t>CAPs</w:t>
        </w:r>
        <w:proofErr w:type="spellEnd"/>
        <w:r>
          <w:rPr>
            <w:rStyle w:val="Hyperkobling"/>
            <w:lang w:val="en-GB"/>
          </w:rPr>
          <w:t xml:space="preserve"> and pooled funds: analysis of results and lessons learned</w:t>
        </w:r>
      </w:hyperlink>
      <w:r>
        <w:rPr>
          <w:lang w:val="en-GB"/>
        </w:rPr>
        <w:t>, pp.34-38.</w:t>
      </w:r>
    </w:p>
  </w:footnote>
  <w:footnote w:id="54">
    <w:p w14:paraId="3E957CB8" w14:textId="77777777" w:rsidR="008E1DEF" w:rsidRDefault="00000000">
      <w:pPr>
        <w:pStyle w:val="Fotnotetekst"/>
        <w:rPr>
          <w:lang w:val="en-GB"/>
        </w:rPr>
      </w:pPr>
      <w:r>
        <w:rPr>
          <w:rStyle w:val="Fotnotereferanse"/>
          <w:lang w:val="en-GB"/>
        </w:rPr>
        <w:footnoteRef/>
      </w:r>
      <w:r>
        <w:rPr>
          <w:lang w:val="en-GB"/>
        </w:rPr>
        <w:t xml:space="preserve"> Grabowski and </w:t>
      </w:r>
      <w:proofErr w:type="spellStart"/>
      <w:r>
        <w:rPr>
          <w:lang w:val="en-GB"/>
        </w:rPr>
        <w:t>Essick</w:t>
      </w:r>
      <w:proofErr w:type="spellEnd"/>
      <w:r>
        <w:rPr>
          <w:lang w:val="en-GB"/>
        </w:rPr>
        <w:t xml:space="preserve">/Oxfam, 2020, </w:t>
      </w:r>
      <w:hyperlink r:id="rId50" w:history="1">
        <w:r>
          <w:rPr>
            <w:rStyle w:val="Hyperkobling"/>
            <w:lang w:val="en-GB"/>
          </w:rPr>
          <w:t>Are they really gender equality projects? An examination of donors’ gender-mainstreamed and gender equality-focused projects to assess the quality of gender-marked projects</w:t>
        </w:r>
      </w:hyperlink>
      <w:r>
        <w:rPr>
          <w:lang w:val="en-GB"/>
        </w:rPr>
        <w:t>, pp.23-25</w:t>
      </w:r>
    </w:p>
  </w:footnote>
  <w:footnote w:id="55">
    <w:p w14:paraId="07DE7265" w14:textId="3EAFB983" w:rsidR="008E1DEF" w:rsidRDefault="00000000">
      <w:pPr>
        <w:pStyle w:val="Fotnotetekst"/>
        <w:rPr>
          <w:lang w:val="en-GB"/>
        </w:rPr>
      </w:pPr>
      <w:r>
        <w:rPr>
          <w:rStyle w:val="Fotnotereferanse"/>
          <w:lang w:val="en-GB"/>
        </w:rPr>
        <w:footnoteRef/>
      </w:r>
      <w:r>
        <w:rPr>
          <w:lang w:val="en-GB"/>
        </w:rPr>
        <w:t xml:space="preserve"> Acknowledgement: my understanding of the issues in this section owes much to discussions with Hannah </w:t>
      </w:r>
      <w:proofErr w:type="spellStart"/>
      <w:r>
        <w:rPr>
          <w:lang w:val="en-GB"/>
        </w:rPr>
        <w:t>Loryman</w:t>
      </w:r>
      <w:proofErr w:type="spellEnd"/>
      <w:r>
        <w:rPr>
          <w:lang w:val="en-GB"/>
        </w:rPr>
        <w:t xml:space="preserve"> (</w:t>
      </w:r>
      <w:proofErr w:type="spellStart"/>
      <w:r>
        <w:rPr>
          <w:lang w:val="en-GB"/>
        </w:rPr>
        <w:t>Sightsavers</w:t>
      </w:r>
      <w:proofErr w:type="spellEnd"/>
      <w:r>
        <w:rPr>
          <w:lang w:val="en-GB"/>
        </w:rPr>
        <w:t xml:space="preserve">) and Katariina </w:t>
      </w:r>
      <w:proofErr w:type="spellStart"/>
      <w:r>
        <w:rPr>
          <w:lang w:val="en-GB"/>
        </w:rPr>
        <w:t>Sario</w:t>
      </w:r>
      <w:proofErr w:type="spellEnd"/>
      <w:r>
        <w:rPr>
          <w:lang w:val="en-GB"/>
        </w:rPr>
        <w:t xml:space="preserve"> (independent consultant).</w:t>
      </w:r>
    </w:p>
  </w:footnote>
  <w:footnote w:id="56">
    <w:p w14:paraId="5E2BDE0C" w14:textId="1BABB34A" w:rsidR="008E1DEF" w:rsidRDefault="00000000">
      <w:pPr>
        <w:pStyle w:val="Fotnotetekst"/>
        <w:rPr>
          <w:lang w:val="en-GB"/>
        </w:rPr>
      </w:pPr>
      <w:r>
        <w:rPr>
          <w:rStyle w:val="Fotnotereferanse"/>
          <w:lang w:val="en-GB"/>
        </w:rPr>
        <w:footnoteRef/>
      </w:r>
      <w:r>
        <w:rPr>
          <w:lang w:val="en-GB"/>
        </w:rPr>
        <w:t xml:space="preserve"> </w:t>
      </w:r>
      <w:proofErr w:type="spellStart"/>
      <w:r>
        <w:rPr>
          <w:lang w:val="en-GB"/>
        </w:rPr>
        <w:t>Loryman</w:t>
      </w:r>
      <w:proofErr w:type="spellEnd"/>
      <w:r>
        <w:rPr>
          <w:lang w:val="en-GB"/>
        </w:rPr>
        <w:t>/</w:t>
      </w:r>
      <w:proofErr w:type="spellStart"/>
      <w:r>
        <w:rPr>
          <w:lang w:val="en-GB"/>
        </w:rPr>
        <w:t>IDDC</w:t>
      </w:r>
      <w:proofErr w:type="spellEnd"/>
      <w:r>
        <w:rPr>
          <w:lang w:val="en-GB"/>
        </w:rPr>
        <w:t xml:space="preserve"> and IDA, 2018, </w:t>
      </w:r>
      <w:hyperlink r:id="rId51" w:history="1">
        <w:proofErr w:type="spellStart"/>
        <w:r>
          <w:rPr>
            <w:rStyle w:val="Hyperkobling"/>
            <w:lang w:val="en-GB"/>
          </w:rPr>
          <w:t>IDDC</w:t>
        </w:r>
        <w:proofErr w:type="spellEnd"/>
        <w:r>
          <w:rPr>
            <w:rStyle w:val="Hyperkobling"/>
            <w:lang w:val="en-GB"/>
          </w:rPr>
          <w:t xml:space="preserve"> and IDA submission on the proposal for the introduction of a policy marker to track development finance in support of disabilities in the CRS</w:t>
        </w:r>
      </w:hyperlink>
    </w:p>
  </w:footnote>
  <w:footnote w:id="57">
    <w:p w14:paraId="77C5745B" w14:textId="1FC411CE" w:rsidR="008E1DEF" w:rsidRDefault="00000000">
      <w:pPr>
        <w:pStyle w:val="Fotnotetekst"/>
        <w:rPr>
          <w:lang w:val="en-GB"/>
        </w:rPr>
      </w:pPr>
      <w:r>
        <w:rPr>
          <w:rStyle w:val="Fotnotereferanse"/>
          <w:lang w:val="en-GB"/>
        </w:rPr>
        <w:footnoteRef/>
      </w:r>
      <w:r>
        <w:rPr>
          <w:lang w:val="en-GB"/>
        </w:rPr>
        <w:t xml:space="preserve"> European Disability Forum, 2022, </w:t>
      </w:r>
      <w:hyperlink r:id="rId52" w:history="1">
        <w:r>
          <w:rPr>
            <w:rStyle w:val="Hyperkobling"/>
            <w:lang w:val="en-GB"/>
          </w:rPr>
          <w:t>Annual report : EC spending on disability inclusion in global actions, 2018-2020</w:t>
        </w:r>
      </w:hyperlink>
      <w:r>
        <w:rPr>
          <w:lang w:val="en-GB"/>
        </w:rPr>
        <w:t>, particularly the recommendations on p.13</w:t>
      </w:r>
    </w:p>
  </w:footnote>
  <w:footnote w:id="58">
    <w:p w14:paraId="63A143F5" w14:textId="282BFACA" w:rsidR="008E1DEF" w:rsidRDefault="00000000">
      <w:pPr>
        <w:pStyle w:val="Fotnotetekst"/>
        <w:rPr>
          <w:lang w:val="en-GB"/>
        </w:rPr>
      </w:pPr>
      <w:r>
        <w:rPr>
          <w:rStyle w:val="Fotnotereferanse"/>
          <w:lang w:val="en-GB"/>
        </w:rPr>
        <w:footnoteRef/>
      </w:r>
      <w:r>
        <w:rPr>
          <w:lang w:val="en-GB"/>
        </w:rPr>
        <w:t xml:space="preserve"> CBM Global and </w:t>
      </w:r>
      <w:proofErr w:type="spellStart"/>
      <w:r>
        <w:rPr>
          <w:lang w:val="en-GB"/>
        </w:rPr>
        <w:t>OPD</w:t>
      </w:r>
      <w:proofErr w:type="spellEnd"/>
      <w:r>
        <w:rPr>
          <w:lang w:val="en-GB"/>
        </w:rPr>
        <w:t xml:space="preserve"> allies, forthcoming</w:t>
      </w:r>
    </w:p>
  </w:footnote>
  <w:footnote w:id="59">
    <w:p w14:paraId="7BD73C7E" w14:textId="38A0ED68" w:rsidR="008E1DEF" w:rsidRDefault="00000000">
      <w:pPr>
        <w:pStyle w:val="Fotnotetekst"/>
        <w:rPr>
          <w:lang w:val="en-GB"/>
        </w:rPr>
      </w:pPr>
      <w:r>
        <w:rPr>
          <w:rStyle w:val="Fotnotereferanse"/>
          <w:lang w:val="en-GB"/>
        </w:rPr>
        <w:footnoteRef/>
      </w:r>
      <w:r>
        <w:rPr>
          <w:lang w:val="en-GB"/>
        </w:rPr>
        <w:t xml:space="preserve"> International Disability Alliance, European Disability Forum, International Disability and Development Consortium, Global Action on Disability Network, 2019, </w:t>
      </w:r>
      <w:hyperlink r:id="rId53" w:history="1">
        <w:r>
          <w:rPr>
            <w:rStyle w:val="Hyperkobling"/>
            <w:lang w:val="en-GB"/>
          </w:rPr>
          <w:t xml:space="preserve">Call to action – implementation of the disability </w:t>
        </w:r>
        <w:proofErr w:type="spellStart"/>
        <w:r>
          <w:rPr>
            <w:rStyle w:val="Hyperkobling"/>
            <w:lang w:val="en-GB"/>
          </w:rPr>
          <w:t>incusion</w:t>
        </w:r>
        <w:proofErr w:type="spellEnd"/>
        <w:r>
          <w:rPr>
            <w:rStyle w:val="Hyperkobling"/>
            <w:lang w:val="en-GB"/>
          </w:rPr>
          <w:t xml:space="preserve"> marker</w:t>
        </w:r>
      </w:hyperlink>
      <w:r>
        <w:rPr>
          <w:rStyle w:val="Hyperkobling"/>
          <w:lang w:val="en-GB"/>
        </w:rPr>
        <w:t xml:space="preserve">. </w:t>
      </w:r>
    </w:p>
  </w:footnote>
  <w:footnote w:id="60">
    <w:p w14:paraId="0B38A9A2" w14:textId="77777777" w:rsidR="008E1DEF" w:rsidRDefault="00000000">
      <w:pPr>
        <w:pStyle w:val="Fotnotetekst"/>
        <w:rPr>
          <w:lang w:val="en-GB"/>
        </w:rPr>
      </w:pPr>
      <w:r>
        <w:rPr>
          <w:rStyle w:val="Fotnotereferanse"/>
          <w:lang w:val="en-GB"/>
        </w:rPr>
        <w:footnoteRef/>
      </w:r>
      <w:r>
        <w:rPr>
          <w:lang w:val="en-GB"/>
        </w:rPr>
        <w:t xml:space="preserve">OECD-DAC, 2020, </w:t>
      </w:r>
      <w:hyperlink r:id="rId54" w:history="1">
        <w:r>
          <w:rPr>
            <w:rStyle w:val="Hyperkobling"/>
            <w:lang w:val="en-GB"/>
          </w:rPr>
          <w:t>The OECD-DAC policy marker on the inclusion and empowerment of persons with disabilities: handbook for data reporters and users</w:t>
        </w:r>
      </w:hyperlink>
    </w:p>
  </w:footnote>
  <w:footnote w:id="61">
    <w:p w14:paraId="17D06912" w14:textId="77777777" w:rsidR="008E1DEF" w:rsidRDefault="00000000">
      <w:pPr>
        <w:pStyle w:val="Fotnotetekst"/>
        <w:rPr>
          <w:lang w:val="en-GB"/>
        </w:rPr>
      </w:pPr>
      <w:r>
        <w:rPr>
          <w:rStyle w:val="Fotnotereferanse"/>
          <w:lang w:val="en-GB"/>
        </w:rPr>
        <w:footnoteRef/>
      </w:r>
      <w:r>
        <w:rPr>
          <w:lang w:val="en-GB"/>
        </w:rPr>
        <w:t xml:space="preserve"> OECD-DAC, 2020, </w:t>
      </w:r>
      <w:hyperlink r:id="rId55" w:history="1">
        <w:r>
          <w:rPr>
            <w:rStyle w:val="Hyperkobling"/>
            <w:lang w:val="en-GB"/>
          </w:rPr>
          <w:t>The OECD-DAC policy marker on the inclusion and empowerment of persons with disabilities: handbook for data reporters and users</w:t>
        </w:r>
      </w:hyperlink>
      <w:r>
        <w:rPr>
          <w:lang w:val="en-GB"/>
        </w:rPr>
        <w:t>, p.15</w:t>
      </w:r>
    </w:p>
  </w:footnote>
  <w:footnote w:id="62">
    <w:p w14:paraId="315B9A60" w14:textId="77777777" w:rsidR="008E1DEF" w:rsidRDefault="00000000">
      <w:pPr>
        <w:pStyle w:val="Fotnotetekst"/>
        <w:rPr>
          <w:lang w:val="en-GB"/>
        </w:rPr>
      </w:pPr>
      <w:r>
        <w:rPr>
          <w:rStyle w:val="Fotnotereferanse"/>
          <w:lang w:val="en-GB"/>
        </w:rPr>
        <w:footnoteRef/>
      </w:r>
      <w:r>
        <w:rPr>
          <w:lang w:val="en-GB"/>
        </w:rPr>
        <w:t xml:space="preserve"> OECD-DAC, 2020, </w:t>
      </w:r>
      <w:hyperlink r:id="rId56" w:history="1">
        <w:r>
          <w:rPr>
            <w:rStyle w:val="Hyperkobling"/>
            <w:lang w:val="en-GB"/>
          </w:rPr>
          <w:t>The OECD-DAC policy marker on the inclusion and empowerment of persons with disabilities: handbook for data reporters and users</w:t>
        </w:r>
      </w:hyperlink>
      <w:r>
        <w:rPr>
          <w:lang w:val="en-GB"/>
        </w:rPr>
        <w:t>, pp.13-14</w:t>
      </w:r>
    </w:p>
  </w:footnote>
  <w:footnote w:id="63">
    <w:p w14:paraId="223E2F9E" w14:textId="77777777" w:rsidR="008E1DEF" w:rsidRDefault="00000000">
      <w:pPr>
        <w:pStyle w:val="Fotnotetekst"/>
        <w:rPr>
          <w:lang w:val="en-GB"/>
        </w:rPr>
      </w:pPr>
      <w:r>
        <w:rPr>
          <w:rStyle w:val="Fotnotereferanse"/>
          <w:lang w:val="en-GB"/>
        </w:rPr>
        <w:footnoteRef/>
      </w:r>
      <w:r>
        <w:rPr>
          <w:lang w:val="en-GB"/>
        </w:rPr>
        <w:t xml:space="preserve"> OECD-DAC, 2016, </w:t>
      </w:r>
      <w:hyperlink r:id="rId57" w:history="1">
        <w:r>
          <w:rPr>
            <w:rStyle w:val="Hyperkobling"/>
            <w:lang w:val="en-GB"/>
          </w:rPr>
          <w:t>Handbook on the OECD-DAC gender equality policy marker</w:t>
        </w:r>
      </w:hyperlink>
      <w:r>
        <w:rPr>
          <w:lang w:val="en-GB"/>
        </w:rPr>
        <w:t>, p.10</w:t>
      </w:r>
    </w:p>
  </w:footnote>
  <w:footnote w:id="64">
    <w:p w14:paraId="46B5729A" w14:textId="77777777" w:rsidR="008E1DEF" w:rsidRDefault="00000000">
      <w:pPr>
        <w:pStyle w:val="Fotnotetekst"/>
        <w:rPr>
          <w:lang w:val="en-GB"/>
        </w:rPr>
      </w:pPr>
      <w:r>
        <w:rPr>
          <w:rStyle w:val="Fotnotereferanse"/>
          <w:lang w:val="en-GB"/>
        </w:rPr>
        <w:footnoteRef/>
      </w:r>
      <w:r>
        <w:rPr>
          <w:lang w:val="en-GB"/>
        </w:rPr>
        <w:t xml:space="preserve"> OECD-DAC, 2020, </w:t>
      </w:r>
      <w:hyperlink r:id="rId58" w:history="1">
        <w:r>
          <w:rPr>
            <w:rStyle w:val="Hyperkobling"/>
            <w:lang w:val="en-GB"/>
          </w:rPr>
          <w:t>The OECD-DAC policy marker on the inclusion and empowerment of persons with disabilities: handbook for data reporters and users</w:t>
        </w:r>
      </w:hyperlink>
    </w:p>
  </w:footnote>
  <w:footnote w:id="65">
    <w:p w14:paraId="39FA4C3F" w14:textId="77777777" w:rsidR="008E1DEF" w:rsidRDefault="00000000">
      <w:pPr>
        <w:pStyle w:val="Fotnotetekst"/>
        <w:rPr>
          <w:lang w:val="en-GB"/>
        </w:rPr>
      </w:pPr>
      <w:r>
        <w:rPr>
          <w:rStyle w:val="Fotnotereferanse"/>
          <w:lang w:val="en-GB"/>
        </w:rPr>
        <w:footnoteRef/>
      </w:r>
      <w:r>
        <w:rPr>
          <w:lang w:val="en-GB"/>
        </w:rPr>
        <w:t xml:space="preserve"> OECD-DAC, 2016, </w:t>
      </w:r>
      <w:hyperlink r:id="rId59" w:history="1">
        <w:r>
          <w:rPr>
            <w:rStyle w:val="Hyperkobling"/>
            <w:lang w:val="en-GB"/>
          </w:rPr>
          <w:t>Handbook on the OECD-DAC gender equality policy marker</w:t>
        </w:r>
      </w:hyperlink>
    </w:p>
  </w:footnote>
  <w:footnote w:id="66">
    <w:p w14:paraId="524BDF9B" w14:textId="77777777" w:rsidR="008E1DEF" w:rsidRDefault="00000000">
      <w:pPr>
        <w:pStyle w:val="Fotnotetekst"/>
        <w:rPr>
          <w:lang w:val="en-GB"/>
        </w:rPr>
      </w:pPr>
      <w:r>
        <w:rPr>
          <w:rStyle w:val="Fotnotereferanse"/>
          <w:lang w:val="en-GB"/>
        </w:rPr>
        <w:footnoteRef/>
      </w:r>
      <w:r>
        <w:rPr>
          <w:lang w:val="en-GB"/>
        </w:rPr>
        <w:t xml:space="preserve"> Note: the eligibility criteria are as stated in Box 1, earlier in this document, </w:t>
      </w:r>
      <w:proofErr w:type="gramStart"/>
      <w:r>
        <w:rPr>
          <w:lang w:val="en-GB"/>
        </w:rPr>
        <w:t>i.e.</w:t>
      </w:r>
      <w:proofErr w:type="gramEnd"/>
      <w:r>
        <w:rPr>
          <w:lang w:val="en-GB"/>
        </w:rPr>
        <w:t xml:space="preserve"> they also do </w:t>
      </w:r>
      <w:r>
        <w:rPr>
          <w:b/>
          <w:bCs/>
          <w:lang w:val="en-GB"/>
        </w:rPr>
        <w:t>not</w:t>
      </w:r>
      <w:r>
        <w:rPr>
          <w:lang w:val="en-GB"/>
        </w:rPr>
        <w:t xml:space="preserve"> refer to doing no harm.</w:t>
      </w:r>
    </w:p>
  </w:footnote>
  <w:footnote w:id="67">
    <w:p w14:paraId="43CE2B87" w14:textId="77777777" w:rsidR="008E1DEF" w:rsidRDefault="00000000">
      <w:pPr>
        <w:pStyle w:val="Fotnotetekst"/>
        <w:rPr>
          <w:lang w:val="en-GB"/>
        </w:rPr>
      </w:pPr>
      <w:r>
        <w:rPr>
          <w:rStyle w:val="Fotnotereferanse"/>
          <w:lang w:val="en-GB"/>
        </w:rPr>
        <w:footnoteRef/>
      </w:r>
      <w:r>
        <w:rPr>
          <w:lang w:val="en-GB"/>
        </w:rPr>
        <w:t xml:space="preserve"> Highlighted by Hannah </w:t>
      </w:r>
      <w:proofErr w:type="spellStart"/>
      <w:r>
        <w:rPr>
          <w:lang w:val="en-GB"/>
        </w:rPr>
        <w:t>Loryman</w:t>
      </w:r>
      <w:proofErr w:type="spellEnd"/>
      <w:r>
        <w:rPr>
          <w:lang w:val="en-GB"/>
        </w:rPr>
        <w:t xml:space="preserve"> (</w:t>
      </w:r>
      <w:proofErr w:type="spellStart"/>
      <w:r>
        <w:rPr>
          <w:lang w:val="en-GB"/>
        </w:rPr>
        <w:t>Sightsavers</w:t>
      </w:r>
      <w:proofErr w:type="spellEnd"/>
      <w:r>
        <w:rPr>
          <w:lang w:val="en-GB"/>
        </w:rPr>
        <w:t>), for example in presentation to webinar organised by CBM Global, June 2022</w:t>
      </w:r>
    </w:p>
  </w:footnote>
  <w:footnote w:id="68">
    <w:p w14:paraId="5768BB4C" w14:textId="61493994" w:rsidR="008E1DEF" w:rsidRDefault="00000000">
      <w:pPr>
        <w:pStyle w:val="Fotnotetekst"/>
        <w:rPr>
          <w:lang w:val="en-GB"/>
        </w:rPr>
      </w:pPr>
      <w:r>
        <w:rPr>
          <w:rStyle w:val="Fotnotereferanse"/>
          <w:lang w:val="en-GB"/>
        </w:rPr>
        <w:footnoteRef/>
      </w:r>
      <w:r>
        <w:rPr>
          <w:lang w:val="en-GB"/>
        </w:rPr>
        <w:t xml:space="preserve"> There is some nuance to this </w:t>
      </w:r>
      <w:proofErr w:type="gramStart"/>
      <w:r>
        <w:rPr>
          <w:lang w:val="en-GB"/>
        </w:rPr>
        <w:t>interpretation :</w:t>
      </w:r>
      <w:proofErr w:type="gramEnd"/>
      <w:r>
        <w:rPr>
          <w:lang w:val="en-GB"/>
        </w:rPr>
        <w:t xml:space="preserve"> the criteria listed above in the ‘gender equality policy marker’ column are recommended criteria from the OECD-DAC’s Network on Gender Equality (</w:t>
      </w:r>
      <w:proofErr w:type="spellStart"/>
      <w:r>
        <w:rPr>
          <w:lang w:val="en-GB"/>
        </w:rPr>
        <w:t>GENDERNET</w:t>
      </w:r>
      <w:proofErr w:type="spellEnd"/>
      <w:r>
        <w:rPr>
          <w:lang w:val="en-GB"/>
        </w:rPr>
        <w:t xml:space="preserve">) : not all are included directly in the OECD-DAC’s (much shorter) agreed statistical reporting directives, so their status is slightly complex. Still, the fact that these practices are stated as ‘minimum criteria’ in the scoring section of the OECD-DAC’s key reference document on the gender equality policy marker gives them a high prominence. In contrast, even where the same practices are mentioned in the OECD-DAC disability inclusion policy marker handbook, it is in a much lower-key way, separate from the main section on scoring : for example, disability-disaggregated data are mentioned in the disability inclusion policy marker handbook, but – like “do no harm” – they are mentioned merely as a “recommended practice” and not as a requirement for obtaining a particular marker score. (Sources : OECD-DAC, 2016, </w:t>
      </w:r>
      <w:hyperlink r:id="rId60" w:history="1">
        <w:r>
          <w:rPr>
            <w:rStyle w:val="Hyperkobling"/>
            <w:lang w:val="en-GB"/>
          </w:rPr>
          <w:t>Handbook on the OECD-DAC gender equality policy marker</w:t>
        </w:r>
      </w:hyperlink>
      <w:r>
        <w:rPr>
          <w:lang w:val="en-GB"/>
        </w:rPr>
        <w:t xml:space="preserve">, p.10; OECD-DAC, 2021, </w:t>
      </w:r>
      <w:hyperlink r:id="rId61" w:history="1">
        <w:r>
          <w:rPr>
            <w:rStyle w:val="Hyperkobling"/>
            <w:lang w:val="en-GB"/>
          </w:rPr>
          <w:t>Converged Statistical Reporting Directives for the Creditor Reporting System (CRS) and the Annual DAC Questionnaire: Annexes – modules D and E</w:t>
        </w:r>
      </w:hyperlink>
      <w:r>
        <w:rPr>
          <w:lang w:val="en-GB"/>
        </w:rPr>
        <w:t xml:space="preserve">, DCD/DAC/STAT(2020)44/ADD2/FINAL, p.48; OECD-DAC, 2020, </w:t>
      </w:r>
      <w:hyperlink r:id="rId62" w:history="1">
        <w:r>
          <w:rPr>
            <w:rStyle w:val="Hyperkobling"/>
            <w:lang w:val="en-GB"/>
          </w:rPr>
          <w:t>The OECD-DAC policy marker on the inclusion and empowerment of persons with disabilities: handbook for data reporters and users</w:t>
        </w:r>
      </w:hyperlink>
      <w:r>
        <w:rPr>
          <w:lang w:val="en-GB"/>
        </w:rPr>
        <w:t>, pp.15-16).</w:t>
      </w:r>
    </w:p>
  </w:footnote>
  <w:footnote w:id="69">
    <w:p w14:paraId="297D5432" w14:textId="60DC1B38" w:rsidR="008E1DEF" w:rsidRDefault="00000000">
      <w:pPr>
        <w:pStyle w:val="Fotnotetekst"/>
        <w:rPr>
          <w:lang w:val="en-GB"/>
        </w:rPr>
      </w:pPr>
      <w:r>
        <w:rPr>
          <w:rStyle w:val="Fotnotereferanse"/>
          <w:lang w:val="en-GB"/>
        </w:rPr>
        <w:footnoteRef/>
      </w:r>
      <w:r>
        <w:rPr>
          <w:lang w:val="en-GB"/>
        </w:rPr>
        <w:t xml:space="preserve"> Please note that throughout this document, « representative » organisations of persons with disabilities </w:t>
      </w:r>
      <w:proofErr w:type="gramStart"/>
      <w:r>
        <w:rPr>
          <w:lang w:val="en-GB"/>
        </w:rPr>
        <w:t>is</w:t>
      </w:r>
      <w:proofErr w:type="gramEnd"/>
      <w:r>
        <w:rPr>
          <w:lang w:val="en-GB"/>
        </w:rPr>
        <w:t xml:space="preserve"> not intended to be understood restrictively as referring only to umbrella organisations or to any other type of organisation of persons with disabilities. As per the </w:t>
      </w:r>
      <w:hyperlink r:id="rId63" w:history="1">
        <w:r>
          <w:rPr>
            <w:rStyle w:val="Hyperkobling"/>
            <w:lang w:val="en-GB"/>
          </w:rPr>
          <w:t>UN Committee on the Rights of Persons with Disabilities’ General Comment no.7</w:t>
        </w:r>
      </w:hyperlink>
      <w:r>
        <w:rPr>
          <w:lang w:val="en-GB"/>
        </w:rPr>
        <w:t xml:space="preserve">, paragraph 12(a), « persons with disabilities should be able to decide for themselves which organizations they want to represent them. The existence of umbrella organizations within States parties should not, under any circumstances, hinder </w:t>
      </w:r>
      <w:proofErr w:type="gramStart"/>
      <w:r>
        <w:rPr>
          <w:lang w:val="en-GB"/>
        </w:rPr>
        <w:t>individuals</w:t>
      </w:r>
      <w:proofErr w:type="gramEnd"/>
      <w:r>
        <w:rPr>
          <w:lang w:val="en-GB"/>
        </w:rPr>
        <w:t xml:space="preserve"> or organizations of persons with disabilities from participating in consultations or other forms of promoting the interests of persons with disabilities ». Further, where this document talks about involvement of representative organisations of persons with disabilities, it is envisaged that the diversity of persons with disabilities would be represented, in line with General Comment no.7, paragraph 50.</w:t>
      </w:r>
    </w:p>
  </w:footnote>
  <w:footnote w:id="70">
    <w:p w14:paraId="67E649F8" w14:textId="77777777" w:rsidR="008E1DEF" w:rsidRDefault="00000000">
      <w:pPr>
        <w:pStyle w:val="Fotnotetekst"/>
        <w:rPr>
          <w:lang w:val="en-GB"/>
        </w:rPr>
      </w:pPr>
      <w:r>
        <w:rPr>
          <w:rStyle w:val="Fotnotereferanse"/>
          <w:lang w:val="en-GB"/>
        </w:rPr>
        <w:footnoteRef/>
      </w:r>
      <w:r>
        <w:rPr>
          <w:lang w:val="en-GB"/>
        </w:rPr>
        <w:t xml:space="preserve"> </w:t>
      </w:r>
      <w:hyperlink r:id="rId64" w:history="1">
        <w:r>
          <w:rPr>
            <w:rStyle w:val="Hyperkobling"/>
            <w:lang w:val="en-GB"/>
          </w:rPr>
          <w:t>UN Convention on the Rights of Persons with Disabilities</w:t>
        </w:r>
      </w:hyperlink>
      <w:r>
        <w:rPr>
          <w:lang w:val="en-GB"/>
        </w:rPr>
        <w:t>, for example Article 4 (3).</w:t>
      </w:r>
    </w:p>
  </w:footnote>
  <w:footnote w:id="71">
    <w:p w14:paraId="0C30FFCA" w14:textId="661D7095" w:rsidR="008E1DEF" w:rsidRDefault="00000000">
      <w:pPr>
        <w:pStyle w:val="Fotnotetekst"/>
        <w:rPr>
          <w:lang w:val="en-GB"/>
        </w:rPr>
      </w:pPr>
      <w:r>
        <w:rPr>
          <w:rStyle w:val="Fotnotereferanse"/>
          <w:lang w:val="en-GB"/>
        </w:rPr>
        <w:footnoteRef/>
      </w:r>
      <w:r>
        <w:rPr>
          <w:lang w:val="en-GB"/>
        </w:rPr>
        <w:t xml:space="preserve"> OECD-DAC, 2020, </w:t>
      </w:r>
      <w:hyperlink r:id="rId65" w:history="1">
        <w:r>
          <w:rPr>
            <w:rStyle w:val="Hyperkobling"/>
            <w:lang w:val="en-GB"/>
          </w:rPr>
          <w:t>The OECD-DAC policy marker on the inclusion and empowerment of persons with disabilities: handbook for data reporters and users</w:t>
        </w:r>
      </w:hyperlink>
      <w:r>
        <w:rPr>
          <w:lang w:val="en-GB"/>
        </w:rPr>
        <w:t>, pp.15 and 21</w:t>
      </w:r>
    </w:p>
  </w:footnote>
  <w:footnote w:id="72">
    <w:p w14:paraId="006964BC" w14:textId="35265195" w:rsidR="008E1DEF" w:rsidRDefault="00000000">
      <w:pPr>
        <w:pStyle w:val="Fotnotetekst"/>
        <w:rPr>
          <w:lang w:val="en-GB"/>
        </w:rPr>
      </w:pPr>
      <w:r>
        <w:rPr>
          <w:rStyle w:val="Fotnotereferanse"/>
        </w:rPr>
        <w:footnoteRef/>
      </w:r>
      <w:r>
        <w:t xml:space="preserve"> </w:t>
      </w:r>
      <w:r>
        <w:rPr>
          <w:lang w:val="en-GB"/>
        </w:rPr>
        <w:t xml:space="preserve">Source: OECD-DAC, 2016, </w:t>
      </w:r>
      <w:hyperlink r:id="rId66" w:history="1">
        <w:r>
          <w:rPr>
            <w:rStyle w:val="Hyperkobling"/>
            <w:lang w:val="en-GB"/>
          </w:rPr>
          <w:t>Handbook on the OECD-DAC gender equality policy marker</w:t>
        </w:r>
      </w:hyperlink>
      <w:r>
        <w:rPr>
          <w:lang w:val="en-GB"/>
        </w:rPr>
        <w:t>, p.7</w:t>
      </w:r>
    </w:p>
  </w:footnote>
  <w:footnote w:id="73">
    <w:p w14:paraId="69126A6F" w14:textId="29A0FC8D" w:rsidR="008E1DEF" w:rsidRDefault="00000000">
      <w:pPr>
        <w:pStyle w:val="Fotnotetekst"/>
        <w:rPr>
          <w:lang w:val="en-GB"/>
        </w:rPr>
      </w:pPr>
      <w:r>
        <w:rPr>
          <w:rStyle w:val="Fotnotereferanse"/>
        </w:rPr>
        <w:footnoteRef/>
      </w:r>
      <w:r>
        <w:t xml:space="preserve"> </w:t>
      </w:r>
      <w:r>
        <w:t xml:space="preserve">E.g. International </w:t>
      </w:r>
      <w:proofErr w:type="spellStart"/>
      <w:r>
        <w:t>Disability</w:t>
      </w:r>
      <w:proofErr w:type="spellEnd"/>
      <w:r>
        <w:t xml:space="preserve"> Alliance, 2022</w:t>
      </w:r>
      <w:hyperlink r:id="rId67" w:history="1">
        <w:r>
          <w:rPr>
            <w:rStyle w:val="Hyperkobling"/>
          </w:rPr>
          <w:t xml:space="preserve">, Not </w:t>
        </w:r>
        <w:proofErr w:type="spellStart"/>
        <w:r>
          <w:rPr>
            <w:rStyle w:val="Hyperkobling"/>
          </w:rPr>
          <w:t>just</w:t>
        </w:r>
        <w:proofErr w:type="spellEnd"/>
        <w:r>
          <w:rPr>
            <w:rStyle w:val="Hyperkobling"/>
          </w:rPr>
          <w:t xml:space="preserve"> </w:t>
        </w:r>
        <w:proofErr w:type="spellStart"/>
        <w:r>
          <w:rPr>
            <w:rStyle w:val="Hyperkobling"/>
          </w:rPr>
          <w:t>ticking</w:t>
        </w:r>
        <w:proofErr w:type="spellEnd"/>
        <w:r>
          <w:rPr>
            <w:rStyle w:val="Hyperkobling"/>
          </w:rPr>
          <w:t xml:space="preserve"> the </w:t>
        </w:r>
        <w:proofErr w:type="spellStart"/>
        <w:r>
          <w:rPr>
            <w:rStyle w:val="Hyperkobling"/>
          </w:rPr>
          <w:t>disability</w:t>
        </w:r>
        <w:proofErr w:type="spellEnd"/>
        <w:r>
          <w:rPr>
            <w:rStyle w:val="Hyperkobling"/>
          </w:rPr>
          <w:t xml:space="preserve"> box ? </w:t>
        </w:r>
        <w:proofErr w:type="spellStart"/>
        <w:r>
          <w:rPr>
            <w:rStyle w:val="Hyperkobling"/>
          </w:rPr>
          <w:t>Meaningful</w:t>
        </w:r>
        <w:proofErr w:type="spellEnd"/>
        <w:r>
          <w:rPr>
            <w:rStyle w:val="Hyperkobling"/>
          </w:rPr>
          <w:t xml:space="preserve"> </w:t>
        </w:r>
        <w:proofErr w:type="spellStart"/>
        <w:r>
          <w:rPr>
            <w:rStyle w:val="Hyperkobling"/>
          </w:rPr>
          <w:t>OPD</w:t>
        </w:r>
        <w:proofErr w:type="spellEnd"/>
        <w:r>
          <w:rPr>
            <w:rStyle w:val="Hyperkobling"/>
          </w:rPr>
          <w:t xml:space="preserve"> participation and the </w:t>
        </w:r>
        <w:proofErr w:type="spellStart"/>
        <w:r>
          <w:rPr>
            <w:rStyle w:val="Hyperkobling"/>
          </w:rPr>
          <w:t>risk</w:t>
        </w:r>
        <w:proofErr w:type="spellEnd"/>
        <w:r>
          <w:rPr>
            <w:rStyle w:val="Hyperkobling"/>
          </w:rPr>
          <w:t xml:space="preserve"> of </w:t>
        </w:r>
        <w:proofErr w:type="spellStart"/>
        <w:r>
          <w:rPr>
            <w:rStyle w:val="Hyperkobling"/>
          </w:rPr>
          <w:t>tokenism</w:t>
        </w:r>
        <w:proofErr w:type="spellEnd"/>
        <w:r>
          <w:rPr>
            <w:rStyle w:val="Hyperkobling"/>
          </w:rPr>
          <w:t xml:space="preserve"> : </w:t>
        </w:r>
        <w:proofErr w:type="spellStart"/>
        <w:r>
          <w:rPr>
            <w:rStyle w:val="Hyperkobling"/>
          </w:rPr>
          <w:t>findings</w:t>
        </w:r>
        <w:proofErr w:type="spellEnd"/>
        <w:r>
          <w:rPr>
            <w:rStyle w:val="Hyperkobling"/>
          </w:rPr>
          <w:t xml:space="preserve"> </w:t>
        </w:r>
        <w:proofErr w:type="spellStart"/>
        <w:r>
          <w:rPr>
            <w:rStyle w:val="Hyperkobling"/>
          </w:rPr>
          <w:t>from</w:t>
        </w:r>
        <w:proofErr w:type="spellEnd"/>
        <w:r>
          <w:rPr>
            <w:rStyle w:val="Hyperkobling"/>
          </w:rPr>
          <w:t xml:space="preserve"> the 2</w:t>
        </w:r>
        <w:r>
          <w:rPr>
            <w:rStyle w:val="Hyperkobling"/>
            <w:vertAlign w:val="superscript"/>
          </w:rPr>
          <w:t>nd</w:t>
        </w:r>
        <w:r>
          <w:rPr>
            <w:rStyle w:val="Hyperkobling"/>
          </w:rPr>
          <w:t xml:space="preserve"> IDA global </w:t>
        </w:r>
        <w:proofErr w:type="spellStart"/>
        <w:r>
          <w:rPr>
            <w:rStyle w:val="Hyperkobling"/>
          </w:rPr>
          <w:t>survey</w:t>
        </w:r>
        <w:proofErr w:type="spellEnd"/>
        <w:r>
          <w:rPr>
            <w:rStyle w:val="Hyperkobling"/>
          </w:rPr>
          <w:t xml:space="preserve"> on the participation of organisations of </w:t>
        </w:r>
        <w:proofErr w:type="spellStart"/>
        <w:r>
          <w:rPr>
            <w:rStyle w:val="Hyperkobling"/>
          </w:rPr>
          <w:t>persons</w:t>
        </w:r>
        <w:proofErr w:type="spellEnd"/>
        <w:r>
          <w:rPr>
            <w:rStyle w:val="Hyperkobling"/>
          </w:rPr>
          <w:t xml:space="preserve"> </w:t>
        </w:r>
        <w:proofErr w:type="spellStart"/>
        <w:r>
          <w:rPr>
            <w:rStyle w:val="Hyperkobling"/>
          </w:rPr>
          <w:t>with</w:t>
        </w:r>
        <w:proofErr w:type="spellEnd"/>
        <w:r>
          <w:rPr>
            <w:rStyle w:val="Hyperkobling"/>
          </w:rPr>
          <w:t xml:space="preserve"> </w:t>
        </w:r>
        <w:proofErr w:type="spellStart"/>
        <w:r>
          <w:rPr>
            <w:rStyle w:val="Hyperkobling"/>
          </w:rPr>
          <w:t>disabiltiies</w:t>
        </w:r>
        <w:proofErr w:type="spellEnd"/>
      </w:hyperlink>
      <w:r>
        <w:t>, pp.64-65</w:t>
      </w:r>
    </w:p>
  </w:footnote>
  <w:footnote w:id="74">
    <w:p w14:paraId="5E7CB0DD" w14:textId="2FA32A06" w:rsidR="008E1DEF" w:rsidRDefault="00000000">
      <w:pPr>
        <w:pStyle w:val="Fotnotetekst"/>
        <w:rPr>
          <w:lang w:val="en-GB"/>
        </w:rPr>
      </w:pPr>
      <w:r>
        <w:rPr>
          <w:rStyle w:val="Fotnotereferanse"/>
          <w:lang w:val="en-GB"/>
        </w:rPr>
        <w:footnoteRef/>
      </w:r>
      <w:r>
        <w:rPr>
          <w:lang w:val="en-GB"/>
        </w:rPr>
        <w:t xml:space="preserve"> Larsen and Nilsson/NIDS, 2021, </w:t>
      </w:r>
      <w:hyperlink r:id="rId68" w:history="1">
        <w:r>
          <w:rPr>
            <w:rStyle w:val="Hyperkobling"/>
            <w:lang w:val="en-GB"/>
          </w:rPr>
          <w:t>Mapping of Norwegian efforts to include persons with disabilities in development assistance, 2010-2019</w:t>
        </w:r>
      </w:hyperlink>
      <w:r>
        <w:rPr>
          <w:lang w:val="en-GB"/>
        </w:rPr>
        <w:t>, p. 14. Larsen and Nilsson also make a fourth recommendation on streamlining the use of contract numbers, but this recommendation touches on wider issues about the design of management information systems, so is beyond the scope of this report.</w:t>
      </w:r>
    </w:p>
  </w:footnote>
  <w:footnote w:id="75">
    <w:p w14:paraId="5179F7F6" w14:textId="347C97D2" w:rsidR="008E1DEF" w:rsidRDefault="00000000">
      <w:pPr>
        <w:pStyle w:val="Fotnotetekst"/>
        <w:rPr>
          <w:lang w:val="en-GB"/>
        </w:rPr>
      </w:pPr>
      <w:r>
        <w:rPr>
          <w:rStyle w:val="Fotnotereferanse"/>
          <w:lang w:val="en-GB"/>
        </w:rPr>
        <w:footnoteRef/>
      </w:r>
      <w:r>
        <w:rPr>
          <w:lang w:val="en-GB"/>
        </w:rPr>
        <w:t xml:space="preserve"> One possible exception is the first part of recommendation (a). Depending on how it is interpreted, the recommendation to clarify the minimum criteria could align well with the implication in IDA, </w:t>
      </w:r>
      <w:proofErr w:type="spellStart"/>
      <w:r>
        <w:rPr>
          <w:lang w:val="en-GB"/>
        </w:rPr>
        <w:t>EDF</w:t>
      </w:r>
      <w:proofErr w:type="spellEnd"/>
      <w:r>
        <w:rPr>
          <w:lang w:val="en-GB"/>
        </w:rPr>
        <w:t xml:space="preserve">, </w:t>
      </w:r>
      <w:proofErr w:type="spellStart"/>
      <w:r>
        <w:rPr>
          <w:lang w:val="en-GB"/>
        </w:rPr>
        <w:t>IDDC</w:t>
      </w:r>
      <w:proofErr w:type="spellEnd"/>
      <w:r>
        <w:rPr>
          <w:lang w:val="en-GB"/>
        </w:rPr>
        <w:t xml:space="preserve"> and </w:t>
      </w:r>
      <w:proofErr w:type="spellStart"/>
      <w:r>
        <w:rPr>
          <w:lang w:val="en-GB"/>
        </w:rPr>
        <w:t>GLAD’s</w:t>
      </w:r>
      <w:proofErr w:type="spellEnd"/>
      <w:r>
        <w:rPr>
          <w:lang w:val="en-GB"/>
        </w:rPr>
        <w:t xml:space="preserve"> call to action, that more detailed criteria are needed on issues such as « doing no harm » and the meaningful involvement of persons with disabilities and their representative organisations. </w:t>
      </w:r>
    </w:p>
  </w:footnote>
  <w:footnote w:id="76">
    <w:p w14:paraId="67FBB32F" w14:textId="36DD5E0C" w:rsidR="008E1DEF" w:rsidRDefault="00000000">
      <w:pPr>
        <w:pStyle w:val="Fotnotetekst"/>
        <w:rPr>
          <w:lang w:val="en-GB"/>
        </w:rPr>
      </w:pPr>
      <w:r>
        <w:rPr>
          <w:rStyle w:val="Fotnotereferanse"/>
          <w:lang w:val="en-GB"/>
        </w:rPr>
        <w:footnoteRef/>
      </w:r>
      <w:r>
        <w:rPr>
          <w:lang w:val="en-GB"/>
        </w:rPr>
        <w:t xml:space="preserve"> See further discussion in Annex 2</w:t>
      </w:r>
    </w:p>
  </w:footnote>
  <w:footnote w:id="77">
    <w:p w14:paraId="6FBDFD8C" w14:textId="6EEF61A0" w:rsidR="008E1DEF" w:rsidRDefault="00000000">
      <w:pPr>
        <w:pStyle w:val="Fotnotetekst"/>
        <w:rPr>
          <w:lang w:val="en-GB"/>
        </w:rPr>
      </w:pPr>
      <w:r>
        <w:rPr>
          <w:rStyle w:val="Fotnotereferanse"/>
          <w:lang w:val="en-GB"/>
        </w:rPr>
        <w:footnoteRef/>
      </w:r>
      <w:r>
        <w:rPr>
          <w:lang w:val="en-GB"/>
        </w:rPr>
        <w:t xml:space="preserve"> Such consultation should cover the diversity of the disability movement, as set out in the UN Committee on the Rights of Persons with Disabilities’ </w:t>
      </w:r>
      <w:hyperlink r:id="rId69" w:history="1">
        <w:r>
          <w:rPr>
            <w:rStyle w:val="Hyperkobling"/>
            <w:lang w:val="en-GB"/>
          </w:rPr>
          <w:t>General Comment no.7</w:t>
        </w:r>
      </w:hyperlink>
      <w:r>
        <w:rPr>
          <w:lang w:val="en-GB"/>
        </w:rPr>
        <w:t>, paragraph 50. It should ensure that organisations of persons with disabilities from the Global South, as well as those from the Global North, are well represented.</w:t>
      </w:r>
    </w:p>
  </w:footnote>
  <w:footnote w:id="78">
    <w:p w14:paraId="09256DFB" w14:textId="69CBC381" w:rsidR="008E1DEF" w:rsidRDefault="00000000">
      <w:pPr>
        <w:pStyle w:val="Fotnotetekst"/>
        <w:rPr>
          <w:lang w:val="en-GB"/>
        </w:rPr>
      </w:pPr>
      <w:r>
        <w:rPr>
          <w:rStyle w:val="Fotnotereferanse"/>
          <w:lang w:val="en-GB"/>
        </w:rPr>
        <w:footnoteRef/>
      </w:r>
      <w:r>
        <w:rPr>
          <w:lang w:val="en-GB"/>
        </w:rPr>
        <w:t xml:space="preserve"> Larsen and Nilsson/NIDS, 2021, </w:t>
      </w:r>
      <w:hyperlink r:id="rId70" w:history="1">
        <w:r>
          <w:rPr>
            <w:rStyle w:val="Hyperkobling"/>
            <w:lang w:val="en-GB"/>
          </w:rPr>
          <w:t>Mapping of Norwegian efforts to include persons with disabilities in development assistance, 2010-2019</w:t>
        </w:r>
      </w:hyperlink>
      <w:r>
        <w:rPr>
          <w:lang w:val="en-GB"/>
        </w:rPr>
        <w:t xml:space="preserve">, p. 14. Larsen and Nilsson also make a fourth recommendation on streamlining the use of contract numbers, but this recommendation touches on wider issues about the design of management information systems, so is beyond the scope of this report. </w:t>
      </w:r>
    </w:p>
  </w:footnote>
  <w:footnote w:id="79">
    <w:p w14:paraId="700D43DA" w14:textId="1F036756" w:rsidR="008E1DEF" w:rsidRDefault="00000000">
      <w:pPr>
        <w:pStyle w:val="Fotnotetekst"/>
        <w:rPr>
          <w:lang w:val="en-GB"/>
        </w:rPr>
      </w:pPr>
      <w:r>
        <w:rPr>
          <w:rStyle w:val="Fotnotereferanse"/>
          <w:lang w:val="en-GB"/>
        </w:rPr>
        <w:footnoteRef/>
      </w:r>
      <w:r>
        <w:rPr>
          <w:lang w:val="en-GB"/>
        </w:rPr>
        <w:t xml:space="preserve"> Recommendation (a) is not considered separately since, as noted in the main text, parts of the recommendation potentially converge with IDA, </w:t>
      </w:r>
      <w:proofErr w:type="spellStart"/>
      <w:r>
        <w:rPr>
          <w:lang w:val="en-GB"/>
        </w:rPr>
        <w:t>EDF</w:t>
      </w:r>
      <w:proofErr w:type="spellEnd"/>
      <w:r>
        <w:rPr>
          <w:lang w:val="en-GB"/>
        </w:rPr>
        <w:t xml:space="preserve"> and allies’ established positions. Meanwhile the issues raised in the second part of the recommendation – on how to treat projects with some limited disability inclusive components – overlap with the issues discussed in this annex for recommendation (b).</w:t>
      </w:r>
    </w:p>
  </w:footnote>
  <w:footnote w:id="80">
    <w:p w14:paraId="56CA0C4E" w14:textId="4B74815B" w:rsidR="008E1DEF" w:rsidRDefault="00000000">
      <w:pPr>
        <w:pStyle w:val="Fotnotetekst"/>
        <w:rPr>
          <w:lang w:val="en-GB"/>
        </w:rPr>
      </w:pPr>
      <w:r>
        <w:rPr>
          <w:rStyle w:val="Fotnotereferanse"/>
          <w:lang w:val="en-GB"/>
        </w:rPr>
        <w:footnoteRef/>
      </w:r>
      <w:r>
        <w:rPr>
          <w:lang w:val="en-GB"/>
        </w:rPr>
        <w:t xml:space="preserve"> See for example Larsen and Nilsson, 2021, </w:t>
      </w:r>
      <w:hyperlink r:id="rId71" w:history="1">
        <w:r>
          <w:rPr>
            <w:rStyle w:val="Hyperkobling"/>
            <w:lang w:val="en-GB"/>
          </w:rPr>
          <w:t>Mapping of Norwegian efforts to include persons with disabilities in development assistance</w:t>
        </w:r>
      </w:hyperlink>
      <w:r>
        <w:rPr>
          <w:lang w:val="en-GB"/>
        </w:rPr>
        <w:t>, 2010-2019, p.12</w:t>
      </w:r>
    </w:p>
  </w:footnote>
  <w:footnote w:id="81">
    <w:p w14:paraId="598A4890" w14:textId="77777777" w:rsidR="008E1DEF" w:rsidRDefault="00000000">
      <w:pPr>
        <w:spacing w:after="0"/>
        <w:rPr>
          <w:rStyle w:val="Hyperkobling"/>
          <w:sz w:val="20"/>
          <w:szCs w:val="20"/>
          <w:lang w:val="en-GB"/>
        </w:rPr>
      </w:pPr>
      <w:r>
        <w:rPr>
          <w:rStyle w:val="Hyperkobling"/>
          <w:sz w:val="20"/>
          <w:szCs w:val="20"/>
          <w:vertAlign w:val="superscript"/>
          <w:lang w:val="en-GB"/>
        </w:rPr>
        <w:footnoteRef/>
      </w:r>
      <w:r>
        <w:rPr>
          <w:rStyle w:val="Hyperkobling"/>
          <w:sz w:val="20"/>
          <w:szCs w:val="20"/>
          <w:lang w:val="en-GB"/>
        </w:rPr>
        <w:t xml:space="preserve"> UN Development Group, </w:t>
      </w:r>
      <w:hyperlink r:id="rId72" w:history="1">
        <w:r>
          <w:rPr>
            <w:rStyle w:val="Hyperkobling"/>
            <w:sz w:val="20"/>
            <w:szCs w:val="20"/>
            <w:lang w:val="en-GB"/>
          </w:rPr>
          <w:t>Gender Equality Marker guidance note</w:t>
        </w:r>
      </w:hyperlink>
      <w:r>
        <w:rPr>
          <w:rStyle w:val="Hyperkobling"/>
          <w:sz w:val="20"/>
          <w:szCs w:val="20"/>
          <w:lang w:val="en-GB"/>
        </w:rPr>
        <w:t>, common standard 3 on p.3</w:t>
      </w:r>
    </w:p>
  </w:footnote>
  <w:footnote w:id="82">
    <w:p w14:paraId="7752B4F7" w14:textId="0ED1CD6E" w:rsidR="008E1DEF" w:rsidRDefault="00000000">
      <w:pPr>
        <w:pStyle w:val="Fotnotetekst"/>
        <w:rPr>
          <w:lang w:val="en-GB"/>
        </w:rPr>
      </w:pPr>
      <w:r>
        <w:rPr>
          <w:rStyle w:val="Fotnotereferanse"/>
          <w:lang w:val="en-GB"/>
        </w:rPr>
        <w:footnoteRef/>
      </w:r>
      <w:r>
        <w:rPr>
          <w:lang w:val="en-GB"/>
        </w:rPr>
        <w:t xml:space="preserve"> UK Independent Commission on Aid Impact, 2018, </w:t>
      </w:r>
      <w:hyperlink r:id="rId73" w:history="1">
        <w:r>
          <w:rPr>
            <w:rStyle w:val="Hyperkobling"/>
            <w:lang w:val="en-GB"/>
          </w:rPr>
          <w:t>DFID’s approach to disability in development</w:t>
        </w:r>
      </w:hyperlink>
      <w:r>
        <w:rPr>
          <w:lang w:val="en-GB"/>
        </w:rPr>
        <w:t>, paragraph 4.14 on p.16. Strictly speaking, these comments applied to the UK’s own disability marker, but this was a pre-cursor for the marker introduced by the OECD-DAC, and the same observation applies.</w:t>
      </w:r>
    </w:p>
  </w:footnote>
  <w:footnote w:id="83">
    <w:p w14:paraId="746D15A5" w14:textId="77777777" w:rsidR="008E1DEF" w:rsidRDefault="00000000">
      <w:pPr>
        <w:pStyle w:val="Fotnotetekst"/>
        <w:rPr>
          <w:lang w:val="en-GB"/>
        </w:rPr>
      </w:pPr>
      <w:r>
        <w:rPr>
          <w:rStyle w:val="Fotnotereferanse"/>
          <w:lang w:val="en-GB"/>
        </w:rPr>
        <w:footnoteRef/>
      </w:r>
      <w:r>
        <w:rPr>
          <w:lang w:val="en-GB"/>
        </w:rPr>
        <w:t xml:space="preserve"> </w:t>
      </w:r>
      <w:proofErr w:type="spellStart"/>
      <w:r>
        <w:rPr>
          <w:lang w:val="en-GB"/>
        </w:rPr>
        <w:t>Striek</w:t>
      </w:r>
      <w:proofErr w:type="spellEnd"/>
      <w:r>
        <w:rPr>
          <w:lang w:val="en-GB"/>
        </w:rPr>
        <w:t>, J./</w:t>
      </w:r>
      <w:proofErr w:type="spellStart"/>
      <w:r>
        <w:rPr>
          <w:lang w:val="en-GB"/>
        </w:rPr>
        <w:t>Deutsches</w:t>
      </w:r>
      <w:proofErr w:type="spellEnd"/>
      <w:r>
        <w:rPr>
          <w:lang w:val="en-GB"/>
        </w:rPr>
        <w:t xml:space="preserve"> </w:t>
      </w:r>
      <w:proofErr w:type="spellStart"/>
      <w:r>
        <w:rPr>
          <w:lang w:val="en-GB"/>
        </w:rPr>
        <w:t>Institut</w:t>
      </w:r>
      <w:proofErr w:type="spellEnd"/>
      <w:r>
        <w:rPr>
          <w:lang w:val="en-GB"/>
        </w:rPr>
        <w:t xml:space="preserve"> für </w:t>
      </w:r>
      <w:proofErr w:type="spellStart"/>
      <w:r>
        <w:rPr>
          <w:lang w:val="en-GB"/>
        </w:rPr>
        <w:t>Menschenrechte</w:t>
      </w:r>
      <w:proofErr w:type="spellEnd"/>
      <w:r>
        <w:rPr>
          <w:lang w:val="en-GB"/>
        </w:rPr>
        <w:t xml:space="preserve">, 2019, </w:t>
      </w:r>
      <w:hyperlink r:id="rId74" w:history="1">
        <w:proofErr w:type="spellStart"/>
        <w:r>
          <w:rPr>
            <w:rStyle w:val="Hyperkobling"/>
            <w:lang w:val="en-GB"/>
          </w:rPr>
          <w:t>Inklusion</w:t>
        </w:r>
        <w:proofErr w:type="spellEnd"/>
        <w:r>
          <w:rPr>
            <w:rStyle w:val="Hyperkobling"/>
            <w:lang w:val="en-GB"/>
          </w:rPr>
          <w:t xml:space="preserve"> </w:t>
        </w:r>
        <w:proofErr w:type="spellStart"/>
        <w:r>
          <w:rPr>
            <w:rStyle w:val="Hyperkobling"/>
            <w:lang w:val="en-GB"/>
          </w:rPr>
          <w:t>systematisch</w:t>
        </w:r>
        <w:proofErr w:type="spellEnd"/>
        <w:r>
          <w:rPr>
            <w:rStyle w:val="Hyperkobling"/>
            <w:lang w:val="en-GB"/>
          </w:rPr>
          <w:t xml:space="preserve"> </w:t>
        </w:r>
        <w:proofErr w:type="spellStart"/>
        <w:r>
          <w:rPr>
            <w:rStyle w:val="Hyperkobling"/>
            <w:lang w:val="en-GB"/>
          </w:rPr>
          <w:t>fördern</w:t>
        </w:r>
        <w:proofErr w:type="spellEnd"/>
        <w:r>
          <w:rPr>
            <w:rStyle w:val="Hyperkobling"/>
            <w:lang w:val="en-GB"/>
          </w:rPr>
          <w:t>: die OECD-</w:t>
        </w:r>
        <w:proofErr w:type="spellStart"/>
        <w:r>
          <w:rPr>
            <w:rStyle w:val="Hyperkobling"/>
            <w:lang w:val="en-GB"/>
          </w:rPr>
          <w:t>Kennung</w:t>
        </w:r>
        <w:proofErr w:type="spellEnd"/>
        <w:r>
          <w:rPr>
            <w:rStyle w:val="Hyperkobling"/>
            <w:lang w:val="en-GB"/>
          </w:rPr>
          <w:t xml:space="preserve"> </w:t>
        </w:r>
        <w:proofErr w:type="spellStart"/>
        <w:r>
          <w:rPr>
            <w:rStyle w:val="Hyperkobling"/>
            <w:lang w:val="en-GB"/>
          </w:rPr>
          <w:t>zu</w:t>
        </w:r>
        <w:proofErr w:type="spellEnd"/>
        <w:r>
          <w:rPr>
            <w:rStyle w:val="Hyperkobling"/>
            <w:lang w:val="en-GB"/>
          </w:rPr>
          <w:t xml:space="preserve"> </w:t>
        </w:r>
        <w:proofErr w:type="spellStart"/>
        <w:r>
          <w:rPr>
            <w:rStyle w:val="Hyperkobling"/>
            <w:lang w:val="en-GB"/>
          </w:rPr>
          <w:t>Inklusion</w:t>
        </w:r>
        <w:proofErr w:type="spellEnd"/>
        <w:r>
          <w:rPr>
            <w:rStyle w:val="Hyperkobling"/>
            <w:lang w:val="en-GB"/>
          </w:rPr>
          <w:t xml:space="preserve"> und Empowerment – </w:t>
        </w:r>
        <w:proofErr w:type="spellStart"/>
        <w:r>
          <w:rPr>
            <w:rStyle w:val="Hyperkobling"/>
            <w:lang w:val="en-GB"/>
          </w:rPr>
          <w:t>ein</w:t>
        </w:r>
        <w:proofErr w:type="spellEnd"/>
        <w:r>
          <w:rPr>
            <w:rStyle w:val="Hyperkobling"/>
            <w:lang w:val="en-GB"/>
          </w:rPr>
          <w:t xml:space="preserve"> </w:t>
        </w:r>
        <w:proofErr w:type="spellStart"/>
        <w:r>
          <w:rPr>
            <w:rStyle w:val="Hyperkobling"/>
            <w:lang w:val="en-GB"/>
          </w:rPr>
          <w:t>neues</w:t>
        </w:r>
        <w:proofErr w:type="spellEnd"/>
        <w:r>
          <w:rPr>
            <w:rStyle w:val="Hyperkobling"/>
            <w:lang w:val="en-GB"/>
          </w:rPr>
          <w:t xml:space="preserve"> Instrument für die </w:t>
        </w:r>
        <w:proofErr w:type="spellStart"/>
        <w:r>
          <w:rPr>
            <w:rStyle w:val="Hyperkobling"/>
            <w:lang w:val="en-GB"/>
          </w:rPr>
          <w:t>Entwicklungszusammenarbeit</w:t>
        </w:r>
        <w:proofErr w:type="spellEnd"/>
      </w:hyperlink>
      <w:r>
        <w:rPr>
          <w:lang w:val="en-GB"/>
        </w:rPr>
        <w:t xml:space="preserve">, p.13. </w:t>
      </w:r>
    </w:p>
  </w:footnote>
  <w:footnote w:id="84">
    <w:p w14:paraId="6F94918C" w14:textId="249CF2DD" w:rsidR="008E1DEF" w:rsidRDefault="00000000">
      <w:pPr>
        <w:pStyle w:val="Fotnotetekst"/>
        <w:rPr>
          <w:lang w:val="en-GB"/>
        </w:rPr>
      </w:pPr>
      <w:r>
        <w:rPr>
          <w:rStyle w:val="Fotnotereferanse"/>
          <w:lang w:val="en-GB"/>
        </w:rPr>
        <w:footnoteRef/>
      </w:r>
      <w:r>
        <w:rPr>
          <w:lang w:val="en-GB"/>
        </w:rPr>
        <w:t xml:space="preserve"> </w:t>
      </w:r>
      <w:proofErr w:type="spellStart"/>
      <w:r>
        <w:rPr>
          <w:lang w:val="en-GB"/>
        </w:rPr>
        <w:t>Groce</w:t>
      </w:r>
      <w:proofErr w:type="spellEnd"/>
      <w:r>
        <w:rPr>
          <w:lang w:val="en-GB"/>
        </w:rPr>
        <w:t xml:space="preserve">, Professor N. and </w:t>
      </w:r>
      <w:proofErr w:type="spellStart"/>
      <w:r>
        <w:rPr>
          <w:lang w:val="en-GB"/>
        </w:rPr>
        <w:t>Kett</w:t>
      </w:r>
      <w:proofErr w:type="spellEnd"/>
      <w:r>
        <w:rPr>
          <w:lang w:val="en-GB"/>
        </w:rPr>
        <w:t xml:space="preserve">, Dr M., 2013, </w:t>
      </w:r>
      <w:hyperlink r:id="rId75" w:history="1">
        <w:r>
          <w:rPr>
            <w:rStyle w:val="Hyperkobling"/>
            <w:lang w:val="en-GB"/>
          </w:rPr>
          <w:t>The disability and development gap</w:t>
        </w:r>
      </w:hyperlink>
      <w:r>
        <w:rPr>
          <w:lang w:val="en-GB"/>
        </w:rPr>
        <w:t xml:space="preserve">, Leonard Cheshire Disability and Inclusive Development Centre, Working paper series no. 21, pp.10-11 ; </w:t>
      </w:r>
      <w:proofErr w:type="spellStart"/>
      <w:r>
        <w:rPr>
          <w:rFonts w:cstheme="minorHAnsi"/>
          <w:color w:val="505050"/>
          <w:shd w:val="clear" w:color="auto" w:fill="FFFFFF"/>
          <w:lang w:val="en-GB"/>
        </w:rPr>
        <w:t>Groce</w:t>
      </w:r>
      <w:proofErr w:type="spellEnd"/>
      <w:r>
        <w:rPr>
          <w:rFonts w:cstheme="minorHAnsi"/>
          <w:color w:val="505050"/>
          <w:shd w:val="clear" w:color="auto" w:fill="FFFFFF"/>
          <w:lang w:val="en-GB"/>
        </w:rPr>
        <w:t xml:space="preserve">, 2018, </w:t>
      </w:r>
      <w:hyperlink r:id="rId76" w:history="1">
        <w:r>
          <w:rPr>
            <w:rStyle w:val="Hyperkobling"/>
            <w:rFonts w:cstheme="minorHAnsi"/>
            <w:shd w:val="clear" w:color="auto" w:fill="FFFFFF"/>
            <w:lang w:val="en-GB"/>
          </w:rPr>
          <w:t>Bridging the gap : examining disability and development in four African countries </w:t>
        </w:r>
      </w:hyperlink>
      <w:r>
        <w:rPr>
          <w:rFonts w:cstheme="minorHAnsi"/>
          <w:color w:val="505050"/>
          <w:shd w:val="clear" w:color="auto" w:fill="FFFFFF"/>
          <w:lang w:val="en-GB"/>
        </w:rPr>
        <w:t xml:space="preserve">; Lewis, Mitra and Yap, </w:t>
      </w:r>
      <w:hyperlink r:id="rId77" w:history="1">
        <w:r>
          <w:rPr>
            <w:rStyle w:val="Hyperkobling"/>
            <w:rFonts w:cstheme="minorHAnsi"/>
            <w:shd w:val="clear" w:color="auto" w:fill="FFFFFF"/>
            <w:lang w:val="en-GB"/>
          </w:rPr>
          <w:t>Do disability inequalities grow with development ? Evidence from 40 countries</w:t>
        </w:r>
      </w:hyperlink>
      <w:r>
        <w:rPr>
          <w:rFonts w:cstheme="minorHAnsi"/>
          <w:color w:val="505050"/>
          <w:shd w:val="clear" w:color="auto" w:fill="FFFFFF"/>
          <w:lang w:val="en-GB"/>
        </w:rPr>
        <w:t xml:space="preserve">, </w:t>
      </w:r>
      <w:r>
        <w:rPr>
          <w:rFonts w:cstheme="minorHAnsi"/>
          <w:i/>
          <w:iCs/>
          <w:color w:val="505050"/>
          <w:shd w:val="clear" w:color="auto" w:fill="FFFFFF"/>
          <w:lang w:val="en-GB"/>
        </w:rPr>
        <w:t xml:space="preserve">Sustainability, </w:t>
      </w:r>
      <w:r>
        <w:rPr>
          <w:rFonts w:cstheme="minorHAnsi"/>
          <w:color w:val="505050"/>
          <w:shd w:val="clear" w:color="auto" w:fill="FFFFFF"/>
          <w:lang w:val="en-GB"/>
        </w:rPr>
        <w:t>2022, 14, p.10</w:t>
      </w:r>
    </w:p>
  </w:footnote>
  <w:footnote w:id="85">
    <w:p w14:paraId="40C9E917" w14:textId="2D8BFFCD" w:rsidR="008E1DEF" w:rsidRDefault="00000000">
      <w:pPr>
        <w:pStyle w:val="Fotnotetekst"/>
        <w:rPr>
          <w:lang w:val="en-GB"/>
        </w:rPr>
      </w:pPr>
      <w:r>
        <w:rPr>
          <w:rStyle w:val="Fotnotereferanse"/>
          <w:lang w:val="en-GB"/>
        </w:rPr>
        <w:footnoteRef/>
      </w:r>
      <w:r>
        <w:rPr>
          <w:lang w:val="en-GB"/>
        </w:rPr>
        <w:t xml:space="preserve"> It is true that the UN gender equality marker scoring criteria are somewhat different from the OECD-DAC disability inclusion policy marker scoring criteria, but this does not affect the basic argument that the « limited » score risks distracting attention from the « significant » threshold.</w:t>
      </w:r>
    </w:p>
  </w:footnote>
  <w:footnote w:id="86">
    <w:p w14:paraId="63D328B7" w14:textId="0153C6D4" w:rsidR="008E1DEF" w:rsidRDefault="00000000">
      <w:pPr>
        <w:spacing w:after="0"/>
        <w:rPr>
          <w:sz w:val="20"/>
          <w:szCs w:val="20"/>
          <w:lang w:val="en-GB"/>
        </w:rPr>
      </w:pPr>
      <w:r>
        <w:rPr>
          <w:rStyle w:val="Fotnotereferanse"/>
          <w:sz w:val="20"/>
          <w:szCs w:val="20"/>
          <w:lang w:val="en-GB"/>
        </w:rPr>
        <w:footnoteRef/>
      </w:r>
      <w:r>
        <w:rPr>
          <w:sz w:val="20"/>
          <w:szCs w:val="20"/>
          <w:lang w:val="en-GB"/>
        </w:rPr>
        <w:t xml:space="preserve"> OECD-DAC, 2020, Assessing the policy objectives of development co-operation activities: review of the reporting status, use and relevance of Rio and policy </w:t>
      </w:r>
      <w:proofErr w:type="spellStart"/>
      <w:r>
        <w:rPr>
          <w:sz w:val="20"/>
          <w:szCs w:val="20"/>
          <w:lang w:val="en-GB"/>
        </w:rPr>
        <w:t>markers</w:t>
      </w:r>
      <w:proofErr w:type="spellEnd"/>
      <w:r>
        <w:rPr>
          <w:sz w:val="20"/>
          <w:szCs w:val="20"/>
          <w:lang w:val="en-GB"/>
        </w:rPr>
        <w:t>, DCD/DAC/</w:t>
      </w:r>
      <w:proofErr w:type="gramStart"/>
      <w:r>
        <w:rPr>
          <w:sz w:val="20"/>
          <w:szCs w:val="20"/>
          <w:lang w:val="en-GB"/>
        </w:rPr>
        <w:t>STAT(</w:t>
      </w:r>
      <w:proofErr w:type="gramEnd"/>
      <w:r>
        <w:rPr>
          <w:sz w:val="20"/>
          <w:szCs w:val="20"/>
          <w:lang w:val="en-GB"/>
        </w:rPr>
        <w:t>2020)27, pp.7-8</w:t>
      </w:r>
    </w:p>
  </w:footnote>
  <w:footnote w:id="87">
    <w:p w14:paraId="275FF601" w14:textId="5B4ED910" w:rsidR="008E1DEF" w:rsidRDefault="00000000">
      <w:pPr>
        <w:pStyle w:val="Fotnotetekst"/>
        <w:rPr>
          <w:lang w:val="en-GB"/>
        </w:rPr>
      </w:pPr>
      <w:r>
        <w:rPr>
          <w:rStyle w:val="Fotnotereferanse"/>
          <w:lang w:val="en-GB"/>
        </w:rPr>
        <w:footnoteRef/>
      </w:r>
      <w:r>
        <w:rPr>
          <w:lang w:val="en-GB"/>
        </w:rPr>
        <w:t xml:space="preserve"> OECD-DAC, 2020, Assessing the policy objectives of development co-operation activities: review of the reporting status, use and relevance of Rio and policy </w:t>
      </w:r>
      <w:proofErr w:type="spellStart"/>
      <w:r>
        <w:rPr>
          <w:lang w:val="en-GB"/>
        </w:rPr>
        <w:t>markers</w:t>
      </w:r>
      <w:proofErr w:type="spellEnd"/>
      <w:r>
        <w:rPr>
          <w:lang w:val="en-GB"/>
        </w:rPr>
        <w:t>, DCD/DAC/</w:t>
      </w:r>
      <w:proofErr w:type="gramStart"/>
      <w:r>
        <w:rPr>
          <w:lang w:val="en-GB"/>
        </w:rPr>
        <w:t>STAT(</w:t>
      </w:r>
      <w:proofErr w:type="gramEnd"/>
      <w:r>
        <w:rPr>
          <w:lang w:val="en-GB"/>
        </w:rPr>
        <w:t>2020)27, Section 1.3 on pp.10-12</w:t>
      </w:r>
    </w:p>
  </w:footnote>
  <w:footnote w:id="88">
    <w:p w14:paraId="41B7A452" w14:textId="2C0020DB" w:rsidR="008E1DEF" w:rsidRDefault="00000000">
      <w:pPr>
        <w:pStyle w:val="Fotnotetekst"/>
        <w:rPr>
          <w:lang w:val="en-GB"/>
        </w:rPr>
      </w:pPr>
      <w:r>
        <w:rPr>
          <w:rStyle w:val="Fotnotereferanse"/>
          <w:lang w:val="en-GB"/>
        </w:rPr>
        <w:footnoteRef/>
      </w:r>
      <w:r>
        <w:rPr>
          <w:lang w:val="en-GB"/>
        </w:rPr>
        <w:t xml:space="preserve"> OECD-DAC, 2020, Assessing the policy objectives of development co-operation activities: review of the reporting status, use and relevance of Rio and policy </w:t>
      </w:r>
      <w:proofErr w:type="spellStart"/>
      <w:r>
        <w:rPr>
          <w:lang w:val="en-GB"/>
        </w:rPr>
        <w:t>markers</w:t>
      </w:r>
      <w:proofErr w:type="spellEnd"/>
      <w:r>
        <w:rPr>
          <w:lang w:val="en-GB"/>
        </w:rPr>
        <w:t>, DCD/DAC/</w:t>
      </w:r>
      <w:proofErr w:type="gramStart"/>
      <w:r>
        <w:rPr>
          <w:lang w:val="en-GB"/>
        </w:rPr>
        <w:t>STAT(</w:t>
      </w:r>
      <w:proofErr w:type="gramEnd"/>
      <w:r>
        <w:rPr>
          <w:lang w:val="en-GB"/>
        </w:rPr>
        <w:t>2020)27, p.12</w:t>
      </w:r>
    </w:p>
  </w:footnote>
  <w:footnote w:id="89">
    <w:p w14:paraId="0033154A" w14:textId="4BEA4CED" w:rsidR="008E1DEF" w:rsidRDefault="00000000">
      <w:pPr>
        <w:pStyle w:val="Fotnotetekst"/>
        <w:rPr>
          <w:lang w:val="en-GB"/>
        </w:rPr>
      </w:pPr>
      <w:r>
        <w:rPr>
          <w:rStyle w:val="Fotnotereferanse"/>
          <w:lang w:val="en-GB"/>
        </w:rPr>
        <w:footnoteRef/>
      </w:r>
      <w:r>
        <w:rPr>
          <w:lang w:val="en-GB"/>
        </w:rPr>
        <w:t xml:space="preserve"> OECD-DAC, 2020, Assessing the policy objectives of development co-operation activities: review of the reporting status, use and relevance of Rio and policy </w:t>
      </w:r>
      <w:proofErr w:type="spellStart"/>
      <w:r>
        <w:rPr>
          <w:lang w:val="en-GB"/>
        </w:rPr>
        <w:t>markers</w:t>
      </w:r>
      <w:proofErr w:type="spellEnd"/>
      <w:r>
        <w:rPr>
          <w:lang w:val="en-GB"/>
        </w:rPr>
        <w:t>, DCD/DAC/</w:t>
      </w:r>
      <w:proofErr w:type="gramStart"/>
      <w:r>
        <w:rPr>
          <w:lang w:val="en-GB"/>
        </w:rPr>
        <w:t>STAT(</w:t>
      </w:r>
      <w:proofErr w:type="gramEnd"/>
      <w:r>
        <w:rPr>
          <w:lang w:val="en-GB"/>
        </w:rPr>
        <w:t>2020)27, p.8</w:t>
      </w:r>
    </w:p>
  </w:footnote>
  <w:footnote w:id="90">
    <w:p w14:paraId="65EDA979" w14:textId="2336C9FF" w:rsidR="008E1DEF" w:rsidRDefault="00000000">
      <w:pPr>
        <w:pStyle w:val="Fotnotetekst"/>
        <w:rPr>
          <w:lang w:val="en-GB"/>
        </w:rPr>
      </w:pPr>
      <w:r>
        <w:rPr>
          <w:rStyle w:val="Fotnotereferanse"/>
          <w:lang w:val="en-GB"/>
        </w:rPr>
        <w:footnoteRef/>
      </w:r>
      <w:r>
        <w:rPr>
          <w:lang w:val="en-GB"/>
        </w:rPr>
        <w:t xml:space="preserve"> It is true that for some early “emerging” projects, the budget allocated to inclusion of persons with disabilities might be hard to identify, and these projects would still be missed in management information. Still, this proposal would potentially capture a substantial number of projects. It would also provide an incentive for early “emerging” projects to take the next step towards becoming fully disability-inclusive, by allocating dedicated budget for this purpose.</w:t>
      </w:r>
    </w:p>
  </w:footnote>
  <w:footnote w:id="91">
    <w:p w14:paraId="54D1746A" w14:textId="782DDFDE" w:rsidR="008E1DEF" w:rsidRDefault="00000000">
      <w:pPr>
        <w:rPr>
          <w:sz w:val="20"/>
          <w:szCs w:val="20"/>
          <w:lang w:val="en-GB"/>
        </w:rPr>
      </w:pPr>
      <w:r>
        <w:rPr>
          <w:rStyle w:val="Fotnotereferanse"/>
          <w:sz w:val="20"/>
          <w:szCs w:val="20"/>
          <w:lang w:val="en-GB"/>
        </w:rPr>
        <w:footnoteRef/>
      </w:r>
      <w:r>
        <w:rPr>
          <w:sz w:val="20"/>
          <w:szCs w:val="20"/>
          <w:lang w:val="en-GB"/>
        </w:rPr>
        <w:t xml:space="preserve"> Ministry for Foreign Affairs of Finland, 2018, </w:t>
      </w:r>
      <w:hyperlink r:id="rId78" w:history="1">
        <w:r>
          <w:rPr>
            <w:rStyle w:val="Hyperkobling"/>
            <w:sz w:val="20"/>
            <w:szCs w:val="20"/>
            <w:lang w:val="en-GB"/>
          </w:rPr>
          <w:t>Development Policy Results Report</w:t>
        </w:r>
      </w:hyperlink>
      <w:r>
        <w:rPr>
          <w:sz w:val="20"/>
          <w:szCs w:val="20"/>
          <w:lang w:val="en-GB"/>
        </w:rPr>
        <w:t>, p.108</w:t>
      </w:r>
    </w:p>
  </w:footnote>
  <w:footnote w:id="92">
    <w:p w14:paraId="4C0B6F37" w14:textId="0BDA3AB6" w:rsidR="008E1DEF" w:rsidRDefault="00000000">
      <w:pPr>
        <w:pStyle w:val="Fotnotetekst"/>
        <w:rPr>
          <w:lang w:val="en-GB"/>
        </w:rPr>
      </w:pPr>
      <w:r>
        <w:rPr>
          <w:rStyle w:val="Fotnotereferanse"/>
          <w:lang w:val="en-GB"/>
        </w:rPr>
        <w:footnoteRef/>
      </w:r>
      <w:r>
        <w:rPr>
          <w:lang w:val="en-GB"/>
        </w:rPr>
        <w:t xml:space="preserve"> UN Committee on the Rights of Persons with Disabilities, </w:t>
      </w:r>
      <w:hyperlink r:id="rId79" w:history="1">
        <w:r>
          <w:rPr>
            <w:rStyle w:val="Hyperkobling"/>
            <w:lang w:val="en-GB"/>
          </w:rPr>
          <w:t>General Comment no.5 (2017) on living independently and being included in the community</w:t>
        </w:r>
      </w:hyperlink>
      <w:r>
        <w:rPr>
          <w:lang w:val="en-GB"/>
        </w:rPr>
        <w:t xml:space="preserve">, </w:t>
      </w:r>
      <w:proofErr w:type="spellStart"/>
      <w:r>
        <w:rPr>
          <w:lang w:val="en-GB"/>
        </w:rPr>
        <w:t>CRPD</w:t>
      </w:r>
      <w:proofErr w:type="spellEnd"/>
      <w:r>
        <w:rPr>
          <w:lang w:val="en-GB"/>
        </w:rPr>
        <w:t>/C/GC/5, for example paragraph 49</w:t>
      </w:r>
    </w:p>
  </w:footnote>
  <w:footnote w:id="93">
    <w:p w14:paraId="1E9E82F9" w14:textId="6A852169" w:rsidR="008E1DEF" w:rsidRDefault="00000000">
      <w:pPr>
        <w:pStyle w:val="Fotnotetekst"/>
        <w:rPr>
          <w:lang w:val="en-GB"/>
        </w:rPr>
      </w:pPr>
      <w:r>
        <w:rPr>
          <w:rStyle w:val="Fotnotereferanse"/>
          <w:lang w:val="en-GB"/>
        </w:rPr>
        <w:footnoteRef/>
      </w:r>
      <w:r>
        <w:rPr>
          <w:lang w:val="en-GB"/>
        </w:rPr>
        <w:t xml:space="preserve"> UN Committee on the Rights of Persons with Disabilities, </w:t>
      </w:r>
      <w:hyperlink r:id="rId80" w:history="1">
        <w:r>
          <w:rPr>
            <w:rStyle w:val="Hyperkobling"/>
            <w:lang w:val="en-GB"/>
          </w:rPr>
          <w:t>General Comment no.8 (2022) on the right of persons with disabilities to work and employment</w:t>
        </w:r>
      </w:hyperlink>
      <w:r>
        <w:rPr>
          <w:lang w:val="en-GB"/>
        </w:rPr>
        <w:t xml:space="preserve">, </w:t>
      </w:r>
      <w:proofErr w:type="spellStart"/>
      <w:r>
        <w:rPr>
          <w:lang w:val="en-GB"/>
        </w:rPr>
        <w:t>CRPD</w:t>
      </w:r>
      <w:proofErr w:type="spellEnd"/>
      <w:r>
        <w:rPr>
          <w:lang w:val="en-GB"/>
        </w:rPr>
        <w:t>/C/GC/8, advance unedited version, for example paragraphs 12, 14 and 15</w:t>
      </w:r>
    </w:p>
  </w:footnote>
  <w:footnote w:id="94">
    <w:p w14:paraId="4D9B9652" w14:textId="4D149D5A" w:rsidR="008E1DEF" w:rsidRDefault="00000000">
      <w:pPr>
        <w:pStyle w:val="Fotnotetekst"/>
        <w:rPr>
          <w:lang w:val="en-GB"/>
        </w:rPr>
      </w:pPr>
      <w:r>
        <w:rPr>
          <w:rStyle w:val="Fotnotereferanse"/>
          <w:lang w:val="en-GB"/>
        </w:rPr>
        <w:footnoteRef/>
      </w:r>
      <w:r>
        <w:rPr>
          <w:lang w:val="en-GB"/>
        </w:rPr>
        <w:t xml:space="preserve"> </w:t>
      </w:r>
      <w:proofErr w:type="gramStart"/>
      <w:r>
        <w:rPr>
          <w:lang w:val="en-GB"/>
        </w:rPr>
        <w:t>Note :</w:t>
      </w:r>
      <w:proofErr w:type="gramEnd"/>
      <w:r>
        <w:rPr>
          <w:lang w:val="en-GB"/>
        </w:rPr>
        <w:t xml:space="preserve"> the author has not quoted General Comment no.4 on inclusive education because she understands that the World Federation of the Deaf have some concerns over its content. Her understanding is that the World Federation of the Deaf takes a nuanced approach, which advocates in favour of models of inclusive education that fully uphold deaf children’s linguistic and cultural rights (source : </w:t>
      </w:r>
      <w:hyperlink r:id="rId81" w:history="1">
        <w:r>
          <w:rPr>
            <w:rStyle w:val="Hyperkobling"/>
            <w:lang w:val="en-GB"/>
          </w:rPr>
          <w:t xml:space="preserve">World Federation of the Deaf, 2018, </w:t>
        </w:r>
        <w:proofErr w:type="spellStart"/>
        <w:r>
          <w:rPr>
            <w:rStyle w:val="Hyperkobling"/>
            <w:lang w:val="en-GB"/>
          </w:rPr>
          <w:t>WFD</w:t>
        </w:r>
        <w:proofErr w:type="spellEnd"/>
        <w:r>
          <w:rPr>
            <w:rStyle w:val="Hyperkobling"/>
            <w:lang w:val="en-GB"/>
          </w:rPr>
          <w:t xml:space="preserve"> position paper on inclusive education</w:t>
        </w:r>
      </w:hyperlink>
      <w:r>
        <w:rPr>
          <w:lang w:val="en-GB"/>
        </w:rPr>
        <w:t xml:space="preserve">). See also International Disability Alliance, 2020, </w:t>
      </w:r>
      <w:hyperlink r:id="rId82" w:history="1">
        <w:r>
          <w:rPr>
            <w:rStyle w:val="Hyperkobling"/>
            <w:lang w:val="en-GB"/>
          </w:rPr>
          <w:t>What an inclusive, equitable, quality education means to us</w:t>
        </w:r>
      </w:hyperlink>
      <w:r>
        <w:rPr>
          <w:lang w:val="en-GB"/>
        </w:rPr>
        <w:t>, ‘Recommendations’ section .</w:t>
      </w:r>
    </w:p>
  </w:footnote>
  <w:footnote w:id="95">
    <w:p w14:paraId="62EAFDEF" w14:textId="0E79D763" w:rsidR="008E1DEF" w:rsidRDefault="00000000">
      <w:pPr>
        <w:pStyle w:val="Fotnotetekst"/>
        <w:rPr>
          <w:lang w:val="en-GB"/>
        </w:rPr>
      </w:pPr>
      <w:r>
        <w:rPr>
          <w:rStyle w:val="Fotnotereferanse"/>
          <w:lang w:val="en-GB"/>
        </w:rPr>
        <w:footnoteRef/>
      </w:r>
      <w:r>
        <w:rPr>
          <w:lang w:val="en-GB"/>
        </w:rPr>
        <w:t xml:space="preserve"> </w:t>
      </w:r>
      <w:proofErr w:type="spellStart"/>
      <w:r>
        <w:rPr>
          <w:lang w:val="en-GB"/>
        </w:rPr>
        <w:t>Loryman</w:t>
      </w:r>
      <w:proofErr w:type="spellEnd"/>
      <w:r>
        <w:rPr>
          <w:lang w:val="en-GB"/>
        </w:rPr>
        <w:t>/</w:t>
      </w:r>
      <w:proofErr w:type="spellStart"/>
      <w:r>
        <w:rPr>
          <w:lang w:val="en-GB"/>
        </w:rPr>
        <w:t>IDDC</w:t>
      </w:r>
      <w:proofErr w:type="spellEnd"/>
      <w:r>
        <w:rPr>
          <w:lang w:val="en-GB"/>
        </w:rPr>
        <w:t xml:space="preserve"> and IDA, 2018, </w:t>
      </w:r>
      <w:hyperlink r:id="rId83" w:history="1">
        <w:proofErr w:type="spellStart"/>
        <w:r>
          <w:rPr>
            <w:rStyle w:val="Hyperkobling"/>
            <w:lang w:val="en-GB"/>
          </w:rPr>
          <w:t>IDDC</w:t>
        </w:r>
        <w:proofErr w:type="spellEnd"/>
        <w:r>
          <w:rPr>
            <w:rStyle w:val="Hyperkobling"/>
            <w:lang w:val="en-GB"/>
          </w:rPr>
          <w:t xml:space="preserve"> and IDA submission on the proposal for the introduction of a policy marker to track development finance in support of disabilities in the CRS</w:t>
        </w:r>
      </w:hyperlink>
      <w:r>
        <w:rPr>
          <w:lang w:val="en-GB"/>
        </w:rPr>
        <w:t>, p.2. See also comments on the World Federation of the Deaf and the International Disability Alliance’s positions on inclusive education, as per the footnote above.</w:t>
      </w:r>
    </w:p>
  </w:footnote>
  <w:footnote w:id="96">
    <w:p w14:paraId="67588327" w14:textId="12FD3E3F" w:rsidR="008E1DEF" w:rsidRDefault="00000000">
      <w:pPr>
        <w:pStyle w:val="Fotnotetekst"/>
        <w:rPr>
          <w:lang w:val="en-GB"/>
        </w:rPr>
      </w:pPr>
      <w:r>
        <w:rPr>
          <w:rStyle w:val="Fotnotereferanse"/>
          <w:lang w:val="en-GB"/>
        </w:rPr>
        <w:footnoteRef/>
      </w:r>
      <w:r>
        <w:rPr>
          <w:lang w:val="en-GB"/>
        </w:rPr>
        <w:t xml:space="preserve"> Source: author’s unpublished research on the CRS database</w:t>
      </w:r>
    </w:p>
  </w:footnote>
  <w:footnote w:id="97">
    <w:p w14:paraId="4AA261BC" w14:textId="211AC061" w:rsidR="008E1DEF" w:rsidRDefault="00000000">
      <w:pPr>
        <w:pStyle w:val="Fotnotetekst"/>
        <w:rPr>
          <w:lang w:val="en-GB"/>
        </w:rPr>
      </w:pPr>
      <w:r>
        <w:rPr>
          <w:rStyle w:val="Fotnotereferanse"/>
          <w:lang w:val="en-GB"/>
        </w:rPr>
        <w:footnoteRef/>
      </w:r>
      <w:r>
        <w:rPr>
          <w:lang w:val="en-GB"/>
        </w:rPr>
        <w:t xml:space="preserve"> It is recognised that, strictly speaking, the first two of these six indicators relate to policies, not to processes for project management. It is also acknowledged that policies alone are not sufficient to guarantee the inclusion of persons with disabilities in projects. Still, it was judged that the </w:t>
      </w:r>
      <w:r>
        <w:rPr>
          <w:b/>
          <w:bCs/>
          <w:lang w:val="en-GB"/>
        </w:rPr>
        <w:t>absence</w:t>
      </w:r>
      <w:r>
        <w:rPr>
          <w:lang w:val="en-GB"/>
        </w:rPr>
        <w:t xml:space="preserve"> of such policies makes the systematic inclusion of persons with disabilities considerably less likely, and so these were considered important indicators to </w:t>
      </w:r>
      <w:proofErr w:type="gramStart"/>
      <w:r>
        <w:rPr>
          <w:lang w:val="en-GB"/>
        </w:rPr>
        <w:t>take into account</w:t>
      </w:r>
      <w:proofErr w:type="gramEnd"/>
      <w:r>
        <w:rPr>
          <w:lang w:val="en-GB"/>
        </w:rPr>
        <w:t>, combined with others that focus more directly on project management processes.</w:t>
      </w:r>
    </w:p>
  </w:footnote>
  <w:footnote w:id="98">
    <w:p w14:paraId="528C551E" w14:textId="24E3DAB6" w:rsidR="008E1DEF" w:rsidRDefault="00000000">
      <w:pPr>
        <w:pStyle w:val="Fotnotetekst"/>
        <w:rPr>
          <w:lang w:val="en-GB"/>
        </w:rPr>
      </w:pPr>
      <w:r>
        <w:rPr>
          <w:rStyle w:val="Fotnotereferanse"/>
          <w:lang w:val="en-GB"/>
        </w:rPr>
        <w:footnoteRef/>
      </w:r>
      <w:r>
        <w:rPr>
          <w:lang w:val="en-GB"/>
        </w:rPr>
        <w:t xml:space="preserve"> Even if some of these factors (such as a requirement for disability-disaggregated data) are not mentioned directly in the disability inclusion policy marker scoring criteria, still their existence is likely to be a strong incentive for (and hence predictor </w:t>
      </w:r>
      <w:proofErr w:type="gramStart"/>
      <w:r>
        <w:rPr>
          <w:lang w:val="en-GB"/>
        </w:rPr>
        <w:t>of)  the</w:t>
      </w:r>
      <w:proofErr w:type="gramEnd"/>
      <w:r>
        <w:rPr>
          <w:lang w:val="en-GB"/>
        </w:rPr>
        <w:t xml:space="preserve"> existence of project objectives on inclusion of persons with disabilities.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496D" w14:textId="77777777" w:rsidR="008E1DEF" w:rsidRDefault="00000000">
    <w:pPr>
      <w:pStyle w:val="Topptekst"/>
    </w:pPr>
    <w:r>
      <w:rPr>
        <w:noProof/>
      </w:rPr>
      <mc:AlternateContent>
        <mc:Choice Requires="wps">
          <w:drawing>
            <wp:anchor distT="0" distB="0" distL="114300" distR="114300" simplePos="0" relativeHeight="251664384" behindDoc="1" locked="0" layoutInCell="1" allowOverlap="1" wp14:anchorId="28F06B4B" wp14:editId="2A50DD83">
              <wp:simplePos x="0" y="0"/>
              <wp:positionH relativeFrom="column">
                <wp:posOffset>-305435</wp:posOffset>
              </wp:positionH>
              <wp:positionV relativeFrom="paragraph">
                <wp:posOffset>562610</wp:posOffset>
              </wp:positionV>
              <wp:extent cx="179705" cy="179705"/>
              <wp:effectExtent l="19050" t="19050" r="10795" b="10795"/>
              <wp:wrapNone/>
              <wp:docPr id="229" name="Flowchart: Process 2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705" cy="179705"/>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229" o:spid="_x0000_s1026" type="#_x0000_t109" alt="&quot;&quot;" style="position:absolute;margin-left:-24.05pt;margin-top:44.3pt;width:14.15pt;height:14.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" filled="f" strokecolor="#1f3763 [1604]" strokeweight="2.25pt"/>
          </w:pict>
        </mc:Fallback>
      </mc:AlternateContent>
    </w:r>
    <w:r>
      <w:rPr>
        <w:noProof/>
      </w:rPr>
      <mc:AlternateContent>
        <mc:Choice Requires="wps">
          <w:drawing>
            <wp:anchor distT="0" distB="0" distL="114300" distR="114300" simplePos="0" relativeHeight="251665408" behindDoc="1" locked="0" layoutInCell="1" allowOverlap="1" wp14:anchorId="7B4EA614" wp14:editId="13465603">
              <wp:simplePos x="0" y="0"/>
              <wp:positionH relativeFrom="column">
                <wp:posOffset>-305435</wp:posOffset>
              </wp:positionH>
              <wp:positionV relativeFrom="paragraph">
                <wp:posOffset>831850</wp:posOffset>
              </wp:positionV>
              <wp:extent cx="179705" cy="179705"/>
              <wp:effectExtent l="19050" t="19050" r="10795" b="10795"/>
              <wp:wrapNone/>
              <wp:docPr id="228" name="Flowchart: Process 2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705" cy="179705"/>
                      </a:xfrm>
                      <a:prstGeom prst="flowChartProcess">
                        <a:avLst/>
                      </a:prstGeom>
                      <a:noFill/>
                      <a:ln w="28575">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28" o:spid="_x0000_s1026" type="#_x0000_t109" alt="&quot;&quot;" style="position:absolute;margin-left:-24.05pt;margin-top:65.5pt;width:14.15pt;height:14.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" filled="f" strokecolor="#b4c6e7 [1300]" strokeweight="2.25pt"/>
          </w:pict>
        </mc:Fallback>
      </mc:AlternateContent>
    </w:r>
    <w:r>
      <w:rPr>
        <w:noProof/>
      </w:rPr>
      <mc:AlternateContent>
        <mc:Choice Requires="wps">
          <w:drawing>
            <wp:anchor distT="0" distB="0" distL="114300" distR="114300" simplePos="0" relativeHeight="251663360" behindDoc="1" locked="0" layoutInCell="1" allowOverlap="1" wp14:anchorId="0C5E779A" wp14:editId="1F1EFF80">
              <wp:simplePos x="0" y="0"/>
              <wp:positionH relativeFrom="column">
                <wp:posOffset>-306070</wp:posOffset>
              </wp:positionH>
              <wp:positionV relativeFrom="paragraph">
                <wp:posOffset>298021</wp:posOffset>
              </wp:positionV>
              <wp:extent cx="179705" cy="179705"/>
              <wp:effectExtent l="19050" t="19050" r="10795" b="10795"/>
              <wp:wrapNone/>
              <wp:docPr id="230" name="Flowchart: Process 2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79705" cy="179705"/>
                      </a:xfrm>
                      <a:prstGeom prst="flowChartProcess">
                        <a:avLst/>
                      </a:prstGeom>
                      <a:noFill/>
                      <a:ln w="28575">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Process 230" o:spid="_x0000_s1026" type="#_x0000_t109" alt="&quot;&quot;" style="position:absolute;margin-left:-24.1pt;margin-top:23.45pt;width:14.15pt;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" filled="f" strokecolor="#b4c6e7 [1300]"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27B6"/>
    <w:multiLevelType w:val="hybridMultilevel"/>
    <w:tmpl w:val="BD061C76"/>
    <w:lvl w:ilvl="0" w:tplc="08090001">
      <w:start w:val="1"/>
      <w:numFmt w:val="bullet"/>
      <w:lvlText w:val=""/>
      <w:lvlJc w:val="left"/>
      <w:pPr>
        <w:ind w:left="360" w:hanging="360"/>
      </w:pPr>
      <w:rPr>
        <w:rFonts w:ascii="Symbol" w:hAnsi="Symbol" w:hint="default"/>
      </w:rPr>
    </w:lvl>
    <w:lvl w:ilvl="1" w:tplc="1BE43866">
      <w:start w:val="1"/>
      <w:numFmt w:val="bullet"/>
      <w:lvlText w:val="»"/>
      <w:lvlJc w:val="left"/>
      <w:pPr>
        <w:ind w:left="1080" w:hanging="360"/>
      </w:pPr>
      <w:rPr>
        <w:rFonts w:ascii="Courier New" w:hAnsi="Courier New" w:hint="default"/>
        <w:b/>
        <w:bCs/>
        <w:color w:val="222A35" w:themeColor="text2" w:themeShade="8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D52BB5"/>
    <w:multiLevelType w:val="hybridMultilevel"/>
    <w:tmpl w:val="F0383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57785"/>
    <w:multiLevelType w:val="hybridMultilevel"/>
    <w:tmpl w:val="EDE035F4"/>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D8969E3"/>
    <w:multiLevelType w:val="hybridMultilevel"/>
    <w:tmpl w:val="B4165882"/>
    <w:lvl w:ilvl="0" w:tplc="B472F87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A3658E"/>
    <w:multiLevelType w:val="hybridMultilevel"/>
    <w:tmpl w:val="7D48B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5213C"/>
    <w:multiLevelType w:val="hybridMultilevel"/>
    <w:tmpl w:val="7D7ED6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7B024B"/>
    <w:multiLevelType w:val="hybridMultilevel"/>
    <w:tmpl w:val="052A8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F44FD"/>
    <w:multiLevelType w:val="hybridMultilevel"/>
    <w:tmpl w:val="F1584848"/>
    <w:lvl w:ilvl="0" w:tplc="8B1A0304">
      <w:start w:val="1"/>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C0977"/>
    <w:multiLevelType w:val="hybridMultilevel"/>
    <w:tmpl w:val="8B583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D924DC"/>
    <w:multiLevelType w:val="hybridMultilevel"/>
    <w:tmpl w:val="2F121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C91A64"/>
    <w:multiLevelType w:val="hybridMultilevel"/>
    <w:tmpl w:val="C0C03038"/>
    <w:lvl w:ilvl="0" w:tplc="DA42B3B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70D39DB"/>
    <w:multiLevelType w:val="hybridMultilevel"/>
    <w:tmpl w:val="64B4C488"/>
    <w:lvl w:ilvl="0" w:tplc="85963C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76767E"/>
    <w:multiLevelType w:val="hybridMultilevel"/>
    <w:tmpl w:val="A7EEFF4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48B177C2"/>
    <w:multiLevelType w:val="hybridMultilevel"/>
    <w:tmpl w:val="78AE413A"/>
    <w:lvl w:ilvl="0" w:tplc="E9ACFE6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97B3D78"/>
    <w:multiLevelType w:val="hybridMultilevel"/>
    <w:tmpl w:val="347A7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3E522E"/>
    <w:multiLevelType w:val="hybridMultilevel"/>
    <w:tmpl w:val="9A80AC40"/>
    <w:lvl w:ilvl="0" w:tplc="541297E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846459E"/>
    <w:multiLevelType w:val="hybridMultilevel"/>
    <w:tmpl w:val="7B8C0626"/>
    <w:lvl w:ilvl="0" w:tplc="EAA8C49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CCD705E"/>
    <w:multiLevelType w:val="hybridMultilevel"/>
    <w:tmpl w:val="50124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F335FCD"/>
    <w:multiLevelType w:val="hybridMultilevel"/>
    <w:tmpl w:val="23FA7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C623DA"/>
    <w:multiLevelType w:val="hybridMultilevel"/>
    <w:tmpl w:val="02163ED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B27554"/>
    <w:multiLevelType w:val="hybridMultilevel"/>
    <w:tmpl w:val="DC1CDFEC"/>
    <w:lvl w:ilvl="0" w:tplc="D2C452C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C524EF7"/>
    <w:multiLevelType w:val="hybridMultilevel"/>
    <w:tmpl w:val="CE1ECACC"/>
    <w:lvl w:ilvl="0" w:tplc="98489B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DE57BA"/>
    <w:multiLevelType w:val="hybridMultilevel"/>
    <w:tmpl w:val="4FCEF002"/>
    <w:lvl w:ilvl="0" w:tplc="ED709CA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0C33387"/>
    <w:multiLevelType w:val="hybridMultilevel"/>
    <w:tmpl w:val="A5A41F3A"/>
    <w:lvl w:ilvl="0" w:tplc="92F660B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36A6ED2"/>
    <w:multiLevelType w:val="hybridMultilevel"/>
    <w:tmpl w:val="8E36462A"/>
    <w:lvl w:ilvl="0" w:tplc="63F086B0">
      <w:start w:val="1"/>
      <w:numFmt w:val="decimal"/>
      <w:lvlText w:val="%1."/>
      <w:lvlJc w:val="left"/>
      <w:pPr>
        <w:ind w:left="360" w:hanging="360"/>
      </w:pPr>
      <w:rPr>
        <w:rFonts w:ascii="Arial" w:hAnsi="Arial" w:cs="Arial" w:hint="default"/>
        <w:color w:val="2222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6F26F51"/>
    <w:multiLevelType w:val="hybridMultilevel"/>
    <w:tmpl w:val="7960F0F8"/>
    <w:lvl w:ilvl="0" w:tplc="DCEA8D46">
      <w:start w:val="1"/>
      <w:numFmt w:val="lowerLetter"/>
      <w:lvlText w:val="%1."/>
      <w:lvlJc w:val="left"/>
      <w:pPr>
        <w:ind w:left="360" w:hanging="360"/>
      </w:pPr>
      <w:rPr>
        <w:rFonts w:asciiTheme="minorHAnsi" w:eastAsiaTheme="minorHAnsi" w:hAnsiTheme="minorHAnsi" w:cstheme="minorBid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96A381F"/>
    <w:multiLevelType w:val="hybridMultilevel"/>
    <w:tmpl w:val="9ED4B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A962C08"/>
    <w:multiLevelType w:val="hybridMultilevel"/>
    <w:tmpl w:val="0F3A6D2A"/>
    <w:lvl w:ilvl="0" w:tplc="51605ACA">
      <w:start w:val="1"/>
      <w:numFmt w:val="bullet"/>
      <w:lvlText w:val="»"/>
      <w:lvlJc w:val="left"/>
      <w:pPr>
        <w:ind w:left="360" w:hanging="360"/>
      </w:pPr>
      <w:rPr>
        <w:rFonts w:ascii="Courier New" w:hAnsi="Courier New" w:hint="default"/>
        <w:b/>
        <w:bCs/>
        <w:color w:val="222A35" w:themeColor="text2" w:themeShade="8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F012D8E"/>
    <w:multiLevelType w:val="hybridMultilevel"/>
    <w:tmpl w:val="952C4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45812081">
    <w:abstractNumId w:val="24"/>
  </w:num>
  <w:num w:numId="2" w16cid:durableId="903758793">
    <w:abstractNumId w:val="7"/>
  </w:num>
  <w:num w:numId="3" w16cid:durableId="311301444">
    <w:abstractNumId w:val="1"/>
  </w:num>
  <w:num w:numId="4" w16cid:durableId="1726218756">
    <w:abstractNumId w:val="4"/>
  </w:num>
  <w:num w:numId="5" w16cid:durableId="2136630572">
    <w:abstractNumId w:val="6"/>
  </w:num>
  <w:num w:numId="6" w16cid:durableId="775251944">
    <w:abstractNumId w:val="26"/>
  </w:num>
  <w:num w:numId="7" w16cid:durableId="1211839802">
    <w:abstractNumId w:val="8"/>
  </w:num>
  <w:num w:numId="8" w16cid:durableId="703403440">
    <w:abstractNumId w:val="0"/>
  </w:num>
  <w:num w:numId="9" w16cid:durableId="895120798">
    <w:abstractNumId w:val="27"/>
  </w:num>
  <w:num w:numId="10" w16cid:durableId="2119253010">
    <w:abstractNumId w:val="14"/>
  </w:num>
  <w:num w:numId="11" w16cid:durableId="874386345">
    <w:abstractNumId w:val="18"/>
  </w:num>
  <w:num w:numId="12" w16cid:durableId="730007657">
    <w:abstractNumId w:val="17"/>
  </w:num>
  <w:num w:numId="13" w16cid:durableId="76094019">
    <w:abstractNumId w:val="9"/>
  </w:num>
  <w:num w:numId="14" w16cid:durableId="1480684771">
    <w:abstractNumId w:val="28"/>
  </w:num>
  <w:num w:numId="15" w16cid:durableId="955329908">
    <w:abstractNumId w:val="25"/>
  </w:num>
  <w:num w:numId="16" w16cid:durableId="156651216">
    <w:abstractNumId w:val="5"/>
  </w:num>
  <w:num w:numId="17" w16cid:durableId="1978490572">
    <w:abstractNumId w:val="19"/>
  </w:num>
  <w:num w:numId="18" w16cid:durableId="1229223969">
    <w:abstractNumId w:val="20"/>
  </w:num>
  <w:num w:numId="19" w16cid:durableId="1351500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5918109">
    <w:abstractNumId w:val="11"/>
  </w:num>
  <w:num w:numId="21" w16cid:durableId="863906890">
    <w:abstractNumId w:val="21"/>
  </w:num>
  <w:num w:numId="22" w16cid:durableId="754058458">
    <w:abstractNumId w:val="3"/>
  </w:num>
  <w:num w:numId="23" w16cid:durableId="1797261811">
    <w:abstractNumId w:val="10"/>
  </w:num>
  <w:num w:numId="24" w16cid:durableId="241989370">
    <w:abstractNumId w:val="15"/>
  </w:num>
  <w:num w:numId="25" w16cid:durableId="204829829">
    <w:abstractNumId w:val="13"/>
  </w:num>
  <w:num w:numId="26" w16cid:durableId="1564441262">
    <w:abstractNumId w:val="23"/>
  </w:num>
  <w:num w:numId="27" w16cid:durableId="440881690">
    <w:abstractNumId w:val="2"/>
  </w:num>
  <w:num w:numId="28" w16cid:durableId="626280909">
    <w:abstractNumId w:val="22"/>
  </w:num>
  <w:num w:numId="29" w16cid:durableId="7124659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EF"/>
    <w:rsid w:val="00173DAC"/>
    <w:rsid w:val="003647F3"/>
    <w:rsid w:val="00534A5C"/>
    <w:rsid w:val="006635C6"/>
    <w:rsid w:val="008E1DEF"/>
    <w:rsid w:val="00DC3E16"/>
    <w:rsid w:val="00EB7C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229B3"/>
  <w15:chartTrackingRefBased/>
  <w15:docId w15:val="{276397A9-73AD-43BC-BF78-0A1105ED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autoRedefine/>
    <w:uiPriority w:val="9"/>
    <w:unhideWhenUsed/>
    <w:qFormat/>
    <w:pPr>
      <w:keepNext/>
      <w:keepLines/>
      <w:spacing w:before="40" w:after="0"/>
      <w:outlineLvl w:val="1"/>
    </w:pPr>
    <w:rPr>
      <w:rFonts w:asciiTheme="majorHAnsi" w:eastAsiaTheme="majorEastAsia" w:hAnsiTheme="majorHAnsi" w:cstheme="majorBidi"/>
      <w:b/>
      <w:bCs/>
      <w:color w:val="4472C4" w:themeColor="accent1"/>
      <w:sz w:val="28"/>
      <w:szCs w:val="26"/>
      <w:lang w:val="en-GB"/>
    </w:rPr>
  </w:style>
  <w:style w:type="paragraph" w:styleId="Overskrift3">
    <w:name w:val="heading 3"/>
    <w:basedOn w:val="Normal"/>
    <w:next w:val="Normal"/>
    <w:link w:val="Overskrift3Tegn"/>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Pr>
      <w:rFonts w:asciiTheme="majorHAnsi" w:eastAsiaTheme="majorEastAsia" w:hAnsiTheme="majorHAnsi" w:cstheme="majorBidi"/>
      <w:b/>
      <w:bCs/>
      <w:color w:val="4472C4" w:themeColor="accent1"/>
      <w:sz w:val="28"/>
      <w:szCs w:val="26"/>
      <w:lang w:val="en-GB"/>
    </w:rPr>
  </w:style>
  <w:style w:type="paragraph" w:styleId="Listeavsnitt">
    <w:name w:val="List Paragraph"/>
    <w:basedOn w:val="Normal"/>
    <w:uiPriority w:val="34"/>
    <w:qFormat/>
    <w:pPr>
      <w:ind w:left="720"/>
      <w:contextualSpacing/>
    </w:pPr>
  </w:style>
  <w:style w:type="paragraph" w:styleId="Revisjon">
    <w:name w:val="Revision"/>
    <w:hidden/>
    <w:uiPriority w:val="99"/>
    <w:semiHidden/>
    <w:pPr>
      <w:spacing w:after="0" w:line="240" w:lineRule="auto"/>
    </w:pPr>
  </w:style>
  <w:style w:type="character" w:customStyle="1" w:styleId="Overskrift1Tegn">
    <w:name w:val="Overskrift 1 Tegn"/>
    <w:basedOn w:val="Standardskriftforavsnitt"/>
    <w:link w:val="Overskrift1"/>
    <w:uiPriority w:val="9"/>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rPr>
      <w:rFonts w:asciiTheme="majorHAnsi" w:eastAsiaTheme="majorEastAsia" w:hAnsiTheme="majorHAnsi" w:cstheme="majorBidi"/>
      <w:color w:val="1F3763" w:themeColor="accent1" w:themeShade="7F"/>
      <w:sz w:val="24"/>
      <w:szCs w:val="24"/>
    </w:rPr>
  </w:style>
  <w:style w:type="paragraph" w:styleId="Fotnotetekst">
    <w:name w:val="footnote text"/>
    <w:basedOn w:val="Normal"/>
    <w:link w:val="FotnotetekstTegn"/>
    <w:uiPriority w:val="99"/>
    <w:unhideWhenUsed/>
    <w:pPr>
      <w:spacing w:after="0" w:line="240" w:lineRule="auto"/>
    </w:pPr>
    <w:rPr>
      <w:sz w:val="20"/>
      <w:szCs w:val="20"/>
    </w:rPr>
  </w:style>
  <w:style w:type="character" w:customStyle="1" w:styleId="FotnotetekstTegn">
    <w:name w:val="Fotnotetekst Tegn"/>
    <w:basedOn w:val="Standardskriftforavsnitt"/>
    <w:link w:val="Fotnotetekst"/>
    <w:uiPriority w:val="99"/>
    <w:rPr>
      <w:sz w:val="20"/>
      <w:szCs w:val="20"/>
    </w:rPr>
  </w:style>
  <w:style w:type="character" w:styleId="Fotnotereferanse">
    <w:name w:val="footnote reference"/>
    <w:basedOn w:val="Standardskriftforavsnitt"/>
    <w:uiPriority w:val="99"/>
    <w:semiHidden/>
    <w:unhideWhenUsed/>
    <w:rPr>
      <w:vertAlign w:val="superscript"/>
    </w:rPr>
  </w:style>
  <w:style w:type="character" w:styleId="Hyperkobling">
    <w:name w:val="Hyperlink"/>
    <w:basedOn w:val="Standardskriftforavsnitt"/>
    <w:uiPriority w:val="99"/>
    <w:unhideWhenUsed/>
    <w:rPr>
      <w:color w:val="0563C1" w:themeColor="hyperlink"/>
      <w:u w:val="single"/>
    </w:rPr>
  </w:style>
  <w:style w:type="character" w:styleId="Ulstomtale">
    <w:name w:val="Unresolved Mention"/>
    <w:basedOn w:val="Standardskriftforavsnitt"/>
    <w:uiPriority w:val="99"/>
    <w:semiHidden/>
    <w:unhideWhenUsed/>
    <w:rPr>
      <w:color w:val="605E5C"/>
      <w:shd w:val="clear" w:color="auto" w:fill="E1DFDD"/>
    </w:rPr>
  </w:style>
  <w:style w:type="table" w:styleId="Tabellrutenett">
    <w:name w:val="Table Grid"/>
    <w:basedOn w:val="Vanligtabel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lgthyperkobling">
    <w:name w:val="FollowedHyperlink"/>
    <w:basedOn w:val="Standardskriftforavsnitt"/>
    <w:uiPriority w:val="99"/>
    <w:semiHidden/>
    <w:unhideWhenUsed/>
    <w:rPr>
      <w:color w:val="954F72" w:themeColor="followedHyperlink"/>
      <w:u w:val="single"/>
    </w:rPr>
  </w:style>
  <w:style w:type="character" w:styleId="Merknadsreferanse">
    <w:name w:val="annotation reference"/>
    <w:basedOn w:val="Standardskriftforavsnitt"/>
    <w:uiPriority w:val="99"/>
    <w:semiHidden/>
    <w:unhideWhenUsed/>
    <w:rPr>
      <w:sz w:val="16"/>
      <w:szCs w:val="16"/>
    </w:rPr>
  </w:style>
  <w:style w:type="paragraph" w:styleId="Merknadstekst">
    <w:name w:val="annotation text"/>
    <w:basedOn w:val="Normal"/>
    <w:link w:val="MerknadstekstTegn"/>
    <w:uiPriority w:val="99"/>
    <w:unhideWhenUsed/>
    <w:pPr>
      <w:spacing w:line="240" w:lineRule="auto"/>
    </w:pPr>
    <w:rPr>
      <w:sz w:val="20"/>
      <w:szCs w:val="20"/>
    </w:rPr>
  </w:style>
  <w:style w:type="character" w:customStyle="1" w:styleId="MerknadstekstTegn">
    <w:name w:val="Merknadstekst Tegn"/>
    <w:basedOn w:val="Standardskriftforavsnitt"/>
    <w:link w:val="Merknadstekst"/>
    <w:uiPriority w:val="99"/>
    <w:rPr>
      <w:sz w:val="20"/>
      <w:szCs w:val="20"/>
    </w:rPr>
  </w:style>
  <w:style w:type="paragraph" w:styleId="Kommentaremne">
    <w:name w:val="annotation subject"/>
    <w:basedOn w:val="Merknadstekst"/>
    <w:next w:val="Merknadstekst"/>
    <w:link w:val="KommentaremneTegn"/>
    <w:uiPriority w:val="99"/>
    <w:semiHidden/>
    <w:unhideWhenUsed/>
    <w:rPr>
      <w:b/>
      <w:bCs/>
    </w:rPr>
  </w:style>
  <w:style w:type="character" w:customStyle="1" w:styleId="KommentaremneTegn">
    <w:name w:val="Kommentaremne Tegn"/>
    <w:basedOn w:val="MerknadstekstTegn"/>
    <w:link w:val="Kommentaremne"/>
    <w:uiPriority w:val="99"/>
    <w:semiHidden/>
    <w:rPr>
      <w:b/>
      <w:bCs/>
      <w:sz w:val="20"/>
      <w:szCs w:val="20"/>
    </w:rPr>
  </w:style>
  <w:style w:type="character" w:customStyle="1" w:styleId="authors">
    <w:name w:val="authors"/>
    <w:basedOn w:val="Standardskriftforavsnitt"/>
  </w:style>
  <w:style w:type="character" w:customStyle="1" w:styleId="Date1">
    <w:name w:val="Date1"/>
    <w:basedOn w:val="Standardskriftforavsnitt"/>
  </w:style>
  <w:style w:type="character" w:customStyle="1" w:styleId="arttitle">
    <w:name w:val="art_title"/>
    <w:basedOn w:val="Standardskriftforavsnitt"/>
  </w:style>
  <w:style w:type="character" w:customStyle="1" w:styleId="serialtitle">
    <w:name w:val="serial_title"/>
    <w:basedOn w:val="Standardskriftforavsnitt"/>
  </w:style>
  <w:style w:type="character" w:customStyle="1" w:styleId="volumeissue">
    <w:name w:val="volume_issue"/>
    <w:basedOn w:val="Standardskriftforavsnitt"/>
  </w:style>
  <w:style w:type="character" w:customStyle="1" w:styleId="pagerange">
    <w:name w:val="page_range"/>
    <w:basedOn w:val="Standardskriftforavsnitt"/>
  </w:style>
  <w:style w:type="character" w:customStyle="1" w:styleId="doilink">
    <w:name w:val="doi_link"/>
    <w:basedOn w:val="Standardskriftforavsnitt"/>
  </w:style>
  <w:style w:type="paragraph" w:styleId="Sluttnotetekst">
    <w:name w:val="endnote text"/>
    <w:basedOn w:val="Normal"/>
    <w:link w:val="SluttnotetekstTegn"/>
    <w:uiPriority w:val="99"/>
    <w:unhideWhenUsed/>
    <w:pPr>
      <w:spacing w:after="0" w:line="240" w:lineRule="auto"/>
    </w:pPr>
    <w:rPr>
      <w:sz w:val="20"/>
      <w:szCs w:val="20"/>
    </w:rPr>
  </w:style>
  <w:style w:type="character" w:customStyle="1" w:styleId="SluttnotetekstTegn">
    <w:name w:val="Sluttnotetekst Tegn"/>
    <w:basedOn w:val="Standardskriftforavsnitt"/>
    <w:link w:val="Sluttnotetekst"/>
    <w:uiPriority w:val="99"/>
    <w:rPr>
      <w:sz w:val="20"/>
      <w:szCs w:val="20"/>
    </w:rPr>
  </w:style>
  <w:style w:type="paragraph" w:styleId="Sitat">
    <w:name w:val="Quote"/>
    <w:basedOn w:val="Normal"/>
    <w:next w:val="Normal"/>
    <w:link w:val="SitatTegn"/>
    <w:uiPriority w:val="29"/>
    <w:qFormat/>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Pr>
      <w:i/>
      <w:iCs/>
      <w:color w:val="404040" w:themeColor="text1" w:themeTint="BF"/>
    </w:rPr>
  </w:style>
  <w:style w:type="character" w:styleId="Sluttnotereferanse">
    <w:name w:val="endnote reference"/>
    <w:basedOn w:val="Standardskriftforavsnitt"/>
    <w:uiPriority w:val="99"/>
    <w:semiHidden/>
    <w:unhideWhenUsed/>
    <w:rPr>
      <w:vertAlign w:val="superscript"/>
    </w:rPr>
  </w:style>
  <w:style w:type="character" w:customStyle="1" w:styleId="Overskrift4Tegn">
    <w:name w:val="Overskrift 4 Tegn"/>
    <w:basedOn w:val="Standardskriftforavsnitt"/>
    <w:link w:val="Overskrift4"/>
    <w:uiPriority w:val="9"/>
    <w:rPr>
      <w:rFonts w:asciiTheme="majorHAnsi" w:eastAsiaTheme="majorEastAsia" w:hAnsiTheme="majorHAnsi" w:cstheme="majorBidi"/>
      <w:i/>
      <w:iCs/>
      <w:color w:val="2F5496" w:themeColor="accent1" w:themeShade="BF"/>
    </w:rPr>
  </w:style>
  <w:style w:type="paragraph" w:styleId="Topptekst">
    <w:name w:val="header"/>
    <w:basedOn w:val="Normal"/>
    <w:link w:val="TopptekstTegn"/>
    <w:uiPriority w:val="99"/>
    <w:unhideWhenUsed/>
    <w:pPr>
      <w:tabs>
        <w:tab w:val="center" w:pos="4513"/>
        <w:tab w:val="right" w:pos="9026"/>
      </w:tabs>
      <w:spacing w:after="0" w:line="240" w:lineRule="auto"/>
    </w:pPr>
    <w:rPr>
      <w:lang w:val="en-GB"/>
    </w:rPr>
  </w:style>
  <w:style w:type="character" w:customStyle="1" w:styleId="TopptekstTegn">
    <w:name w:val="Topptekst Tegn"/>
    <w:basedOn w:val="Standardskriftforavsnitt"/>
    <w:link w:val="Topptekst"/>
    <w:uiPriority w:val="99"/>
    <w:rPr>
      <w:lang w:val="en-GB"/>
    </w:rPr>
  </w:style>
  <w:style w:type="paragraph" w:styleId="Bunntekst">
    <w:name w:val="footer"/>
    <w:basedOn w:val="Normal"/>
    <w:link w:val="BunntekstTegn"/>
    <w:uiPriority w:val="99"/>
    <w:unhideWhenUsed/>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style>
  <w:style w:type="paragraph" w:styleId="Tittel">
    <w:name w:val="Title"/>
    <w:basedOn w:val="Normal"/>
    <w:next w:val="Normal"/>
    <w:link w:val="TittelTegn"/>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Pr>
      <w:rFonts w:asciiTheme="majorHAnsi" w:eastAsiaTheme="majorEastAsia" w:hAnsiTheme="majorHAnsi" w:cstheme="majorBidi"/>
      <w:spacing w:val="-10"/>
      <w:kern w:val="28"/>
      <w:sz w:val="56"/>
      <w:szCs w:val="56"/>
    </w:rPr>
  </w:style>
  <w:style w:type="character" w:customStyle="1" w:styleId="Overskrift5Tegn">
    <w:name w:val="Overskrift 5 Tegn"/>
    <w:basedOn w:val="Standardskriftforavsnitt"/>
    <w:link w:val="Overskrift5"/>
    <w:uiPriority w:val="9"/>
    <w:rPr>
      <w:rFonts w:asciiTheme="majorHAnsi" w:eastAsiaTheme="majorEastAsia" w:hAnsiTheme="majorHAnsi" w:cstheme="majorBidi"/>
      <w:color w:val="2F5496" w:themeColor="accent1" w:themeShade="BF"/>
    </w:rPr>
  </w:style>
  <w:style w:type="paragraph" w:styleId="Overskriftforinnholdsfortegnelse">
    <w:name w:val="TOC Heading"/>
    <w:basedOn w:val="Overskrift1"/>
    <w:next w:val="Normal"/>
    <w:uiPriority w:val="39"/>
    <w:unhideWhenUsed/>
    <w:qFormat/>
    <w:pPr>
      <w:outlineLvl w:val="9"/>
    </w:pPr>
    <w:rPr>
      <w:lang w:val="en-US"/>
    </w:rPr>
  </w:style>
  <w:style w:type="paragraph" w:styleId="INNH1">
    <w:name w:val="toc 1"/>
    <w:basedOn w:val="Normal"/>
    <w:next w:val="Normal"/>
    <w:autoRedefine/>
    <w:uiPriority w:val="39"/>
    <w:unhideWhenUsed/>
    <w:pPr>
      <w:tabs>
        <w:tab w:val="right" w:leader="dot" w:pos="9016"/>
      </w:tabs>
      <w:spacing w:after="100"/>
    </w:pPr>
  </w:style>
  <w:style w:type="paragraph" w:styleId="INNH2">
    <w:name w:val="toc 2"/>
    <w:basedOn w:val="Normal"/>
    <w:next w:val="Normal"/>
    <w:autoRedefine/>
    <w:uiPriority w:val="39"/>
    <w:unhideWhenUsed/>
    <w:pPr>
      <w:spacing w:after="100"/>
      <w:ind w:left="220"/>
    </w:pPr>
  </w:style>
  <w:style w:type="paragraph" w:styleId="INNH3">
    <w:name w:val="toc 3"/>
    <w:basedOn w:val="Normal"/>
    <w:next w:val="Normal"/>
    <w:autoRedefine/>
    <w:uiPriority w:val="39"/>
    <w:unhideWhenUse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6095">
      <w:bodyDiv w:val="1"/>
      <w:marLeft w:val="0"/>
      <w:marRight w:val="0"/>
      <w:marTop w:val="0"/>
      <w:marBottom w:val="0"/>
      <w:divBdr>
        <w:top w:val="none" w:sz="0" w:space="0" w:color="auto"/>
        <w:left w:val="none" w:sz="0" w:space="0" w:color="auto"/>
        <w:bottom w:val="none" w:sz="0" w:space="0" w:color="auto"/>
        <w:right w:val="none" w:sz="0" w:space="0" w:color="auto"/>
      </w:divBdr>
    </w:div>
    <w:div w:id="556360329">
      <w:bodyDiv w:val="1"/>
      <w:marLeft w:val="0"/>
      <w:marRight w:val="0"/>
      <w:marTop w:val="0"/>
      <w:marBottom w:val="0"/>
      <w:divBdr>
        <w:top w:val="none" w:sz="0" w:space="0" w:color="auto"/>
        <w:left w:val="none" w:sz="0" w:space="0" w:color="auto"/>
        <w:bottom w:val="none" w:sz="0" w:space="0" w:color="auto"/>
        <w:right w:val="none" w:sz="0" w:space="0" w:color="auto"/>
      </w:divBdr>
    </w:div>
    <w:div w:id="943346801">
      <w:bodyDiv w:val="1"/>
      <w:marLeft w:val="0"/>
      <w:marRight w:val="0"/>
      <w:marTop w:val="0"/>
      <w:marBottom w:val="0"/>
      <w:divBdr>
        <w:top w:val="none" w:sz="0" w:space="0" w:color="auto"/>
        <w:left w:val="none" w:sz="0" w:space="0" w:color="auto"/>
        <w:bottom w:val="none" w:sz="0" w:space="0" w:color="auto"/>
        <w:right w:val="none" w:sz="0" w:space="0" w:color="auto"/>
      </w:divBdr>
    </w:div>
    <w:div w:id="1473907961">
      <w:bodyDiv w:val="1"/>
      <w:marLeft w:val="0"/>
      <w:marRight w:val="0"/>
      <w:marTop w:val="0"/>
      <w:marBottom w:val="0"/>
      <w:divBdr>
        <w:top w:val="none" w:sz="0" w:space="0" w:color="auto"/>
        <w:left w:val="none" w:sz="0" w:space="0" w:color="auto"/>
        <w:bottom w:val="none" w:sz="0" w:space="0" w:color="auto"/>
        <w:right w:val="none" w:sz="0" w:space="0" w:color="auto"/>
      </w:divBdr>
    </w:div>
    <w:div w:id="148898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www.cbmswiss.ch/fileadmin/user_upload/Dokumente/Unsere_Arbeit/Politische_Arbeit/Events/cbm-fact-sheet-crpd-implementation-switzerland-focus-international_cooperation.pdf"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www.iddcconsortium.net/wp-content/uploads/2019/12/Call-to-Action-on-the-Disability-DAC-Marker_final.pdf"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edf-feph.org/projects/mapping-disability-inclusiveness-of-european-member-states-development-and-humanitarianaid/" TargetMode="External"/><Relationship Id="rId25" Type="http://schemas.openxmlformats.org/officeDocument/2006/relationships/hyperlink" Target="https://www.edf-feph.org/content/uploads/2022/11/EDF-EC-ODA-marker-2022.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oecd.org/dac/gender-development/Handbook-OECD-DAC-Gender-Equality-Policy-Marker.pdf" TargetMode="External"/><Relationship Id="rId29" Type="http://schemas.openxmlformats.org/officeDocument/2006/relationships/hyperlink" Target="https://www.edf-feph.org/content/uploads/2022/11/EDF-EC-ODA-marker-202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unwomen.org/sites/default/files/2022-01/Brief-Disability-inclusion-markers-en.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inclusive-policy.org/wp-content/uploads/2020/09/OECD-DAC-data-guide-disability-marker_1.0.docx" TargetMode="External"/><Relationship Id="rId28" Type="http://schemas.openxmlformats.org/officeDocument/2006/relationships/chart" Target="charts/chart3.xml"/><Relationship Id="rId36" Type="http://schemas.openxmlformats.org/officeDocument/2006/relationships/customXml" Target="../customXml/item4.xml"/><Relationship Id="rId10" Type="http://schemas.openxmlformats.org/officeDocument/2006/relationships/hyperlink" Target="https://www.oecd.org/officialdocuments/publicdisplaydocumentpdf/?cote=%20DCD/DAC/STAT(2020)48%20&amp;docLanguage=En" TargetMode="External"/><Relationship Id="rId19" Type="http://schemas.openxmlformats.org/officeDocument/2006/relationships/hyperlink" Target="https://www.oecd.org/officialdocuments/publicdisplaydocumentpdf/?cote=%20DCD/DAC/STAT(2020)48%20&amp;docLanguage=En" TargetMode="External"/><Relationship Id="rId31" Type="http://schemas.openxmlformats.org/officeDocument/2006/relationships/hyperlink" Target="https://www.cbmswiss.ch/fileadmin/user_upload/Dokumente/Unsere_Arbeit/Politische_Arbeit/Events/cbm-fact-sheet-crpd-implementation-switzerland-focus-international_cooperation.pdf" TargetMode="External"/><Relationship Id="rId4" Type="http://schemas.openxmlformats.org/officeDocument/2006/relationships/settings" Target="settings.xml"/><Relationship Id="rId9" Type="http://schemas.openxmlformats.org/officeDocument/2006/relationships/hyperlink" Target="https://www.oecd.org/officialdocuments/publicdisplaydocumentpdf/?cote=%20DCD/DAC/STAT(2020)48%20&amp;docLanguage=En" TargetMode="External"/><Relationship Id="rId14" Type="http://schemas.openxmlformats.org/officeDocument/2006/relationships/hyperlink" Target="https://www.norad.no/contentassets/19724d2081c348f59b78d1b47ed6a581/1.21_mapping-of-norwegian-effort-to-include-persons-with-disabilities-in-development-assistance-2010-2019.pdf" TargetMode="External"/><Relationship Id="rId22" Type="http://schemas.openxmlformats.org/officeDocument/2006/relationships/hyperlink" Target="https://www.oecd.org/officialdocuments/publicdisplaydocumentpdf/?cote=%20DCD/DAC/STAT(2020)48%20&amp;docLanguage=En" TargetMode="External"/><Relationship Id="rId27" Type="http://schemas.openxmlformats.org/officeDocument/2006/relationships/hyperlink" Target="https://unsdg.un.org/sites/default/files/2019-09/UNCT%20GEM%20UN%20INFO%20final%20draft%20June%202019.pdf" TargetMode="External"/><Relationship Id="rId30" Type="http://schemas.openxmlformats.org/officeDocument/2006/relationships/hyperlink" Target="https://www.edf-feph.org/projects/mapping-disability-inclusiveness-of-european-member-states-development-and-humanitarianaid/" TargetMode="External"/><Relationship Id="rId35" Type="http://schemas.openxmlformats.org/officeDocument/2006/relationships/customXml" Target="../customXml/item3.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26" Type="http://schemas.openxmlformats.org/officeDocument/2006/relationships/hyperlink" Target="https://www.oecd.org/officialdocuments/publicdisplaydocumentpdf/?cote=DCD/DAC/STAT(2020)27&amp;docLanguage=En" TargetMode="External"/><Relationship Id="rId21" Type="http://schemas.openxmlformats.org/officeDocument/2006/relationships/hyperlink" Target="https://assets.ctfassets.net/60pzqxyjaawg/7a4q1kSsWpJ6FMEMcoHWAK/6f8b64b6aaaa219569f5c47cde8236ca/BB1_2022_EN_Aprovado_compressed.pdf" TargetMode="External"/><Relationship Id="rId42" Type="http://schemas.openxmlformats.org/officeDocument/2006/relationships/hyperlink" Target="https://oxfamilibrary.openrepository.com/bitstream/handle/10546/620945/rr-are-they-really-gender-equality-projects-donors-050220-en.pdf?sequence=1" TargetMode="External"/><Relationship Id="rId47" Type="http://schemas.openxmlformats.org/officeDocument/2006/relationships/hyperlink" Target="https://unsceb.org/sites/default/files/imported_files/Guidance%20Note%20on%20QA%20of%20GEMs%20-%20for%20dissemination.pdf" TargetMode="External"/><Relationship Id="rId63" Type="http://schemas.openxmlformats.org/officeDocument/2006/relationships/hyperlink" Target="https://www.ohchr.org/en/documents/general-comments-and-recommendations/general-comment-no7-article-43-and-333-participation" TargetMode="External"/><Relationship Id="rId68" Type="http://schemas.openxmlformats.org/officeDocument/2006/relationships/hyperlink" Target="https://www.norad.no/contentassets/19724d2081c348f59b78d1b47ed6a581/1.21_mapping-of-norwegian-effort-to-include-persons-with-disabilities-in-development-assistance-2010-2019.pdf" TargetMode="External"/><Relationship Id="rId16" Type="http://schemas.openxmlformats.org/officeDocument/2006/relationships/hyperlink" Target="https://gladnetwork.net/sites/default/files/2021-04/4.%20Rosangela%20UNICEF.pptx" TargetMode="External"/><Relationship Id="rId11" Type="http://schemas.openxmlformats.org/officeDocument/2006/relationships/hyperlink" Target="https://www.oecd.org/officialdocuments/publicdisplaydocumentpdf/?cote=%20DCD/DAC/STAT(2020)48%20&amp;docLanguage=En" TargetMode="External"/><Relationship Id="rId32" Type="http://schemas.openxmlformats.org/officeDocument/2006/relationships/hyperlink" Target="https://uploads-ssl.webflow.com/60fea532c3e33e5c5701d99a/621f35f5753580011152d4ea_Fafo-rapporten.pdf" TargetMode="External"/><Relationship Id="rId37" Type="http://schemas.openxmlformats.org/officeDocument/2006/relationships/hyperlink" Target="https://www.oecd.org/officialdocuments/publicdisplaydocumentpdf/?cote=%20DCD/DAC/STAT(2020)48%20&amp;docLanguage=En" TargetMode="External"/><Relationship Id="rId53" Type="http://schemas.openxmlformats.org/officeDocument/2006/relationships/hyperlink" Target="https://www.iddcconsortium.net/wp-content/uploads/2019/12/Call-to-Action-on-the-Disability-DAC-Marker_final.pdf" TargetMode="External"/><Relationship Id="rId58" Type="http://schemas.openxmlformats.org/officeDocument/2006/relationships/hyperlink" Target="https://www.oecd.org/officialdocuments/publicdisplaydocumentpdf/?cote=%20DCD/DAC/STAT(2020)48%20&amp;docLanguage=En" TargetMode="External"/><Relationship Id="rId74" Type="http://schemas.openxmlformats.org/officeDocument/2006/relationships/hyperlink" Target="https://www.institut-fuer-menschenrechte.de/fileadmin/Redaktion/Publikationen/Analyse_Studie/Analyse_Inklusion_systematisch_foerdern_OECD.pdf" TargetMode="External"/><Relationship Id="rId79" Type="http://schemas.openxmlformats.org/officeDocument/2006/relationships/hyperlink" Target="https://www.ohchr.org/en/documents/general-comments-and-recommendations/general-comment-no5-article-19-right-live" TargetMode="External"/><Relationship Id="rId5" Type="http://schemas.openxmlformats.org/officeDocument/2006/relationships/hyperlink" Target="https://www.bmj.com/content/bmj/379/bmj.o2387.full.pdf" TargetMode="External"/><Relationship Id="rId61" Type="http://schemas.openxmlformats.org/officeDocument/2006/relationships/hyperlink" Target="https://one.oecd.org/document/DCD/DAC/STAT(2020)44/ADD2/FINAL/en/pdf" TargetMode="External"/><Relationship Id="rId82" Type="http://schemas.openxmlformats.org/officeDocument/2006/relationships/hyperlink" Target="https://www.internationaldisabilityalliance.org/sites/default/files/ida_ie_flagship_report_english_29.06.2020.pdf" TargetMode="External"/><Relationship Id="rId19" Type="http://schemas.openxmlformats.org/officeDocument/2006/relationships/hyperlink" Target="https://www.iascgenderwithagemarker.com/en/home/" TargetMode="External"/><Relationship Id="rId14" Type="http://schemas.openxmlformats.org/officeDocument/2006/relationships/hyperlink" Target="https://stats.oecd.org/Index.aspx?QueryId=108801" TargetMode="External"/><Relationship Id="rId22" Type="http://schemas.openxmlformats.org/officeDocument/2006/relationships/hyperlink" Target="https://stats.oecd.org/Index.aspx?DataSetCode=crs1" TargetMode="External"/><Relationship Id="rId27" Type="http://schemas.openxmlformats.org/officeDocument/2006/relationships/hyperlink" Target="https://www.oecd.org/dac/Gender_ODA_2022.pdf" TargetMode="External"/><Relationship Id="rId30" Type="http://schemas.openxmlformats.org/officeDocument/2006/relationships/hyperlink" Target="https://gladnetwork.net/sites/default/files/2021-04/4.%20Rosangela%20UNICEF.pptx" TargetMode="External"/><Relationship Id="rId35" Type="http://schemas.openxmlformats.org/officeDocument/2006/relationships/hyperlink" Target="https://stats.oecd.org/Index.aspx?DataSetCode=crs1" TargetMode="External"/><Relationship Id="rId43" Type="http://schemas.openxmlformats.org/officeDocument/2006/relationships/hyperlink" Target="https://www.norad.no/contentassets/19724d2081c348f59b78d1b47ed6a581/1.21_mapping-of-norwegian-effort-to-include-persons-with-disabilities-in-development-assistance-2010-2019.pdf" TargetMode="External"/><Relationship Id="rId48" Type="http://schemas.openxmlformats.org/officeDocument/2006/relationships/hyperlink" Target="https://reliefweb.int/report/world/analysis-results-and-lessons-learned-2013-iasc-gender-marker" TargetMode="External"/><Relationship Id="rId56" Type="http://schemas.openxmlformats.org/officeDocument/2006/relationships/hyperlink" Target="https://www.oecd.org/officialdocuments/publicdisplaydocumentpdf/?cote=%20DCD/DAC/STAT(2020)48%20&amp;docLanguage=En" TargetMode="External"/><Relationship Id="rId64" Type="http://schemas.openxmlformats.org/officeDocument/2006/relationships/hyperlink" Target="https://www.un.org/disabilities/documents/convention/convoptprot-e.pdf" TargetMode="External"/><Relationship Id="rId69" Type="http://schemas.openxmlformats.org/officeDocument/2006/relationships/hyperlink" Target="https://www.ohchr.org/en/documents/general-comments-and-recommendations/general-comment-no7-article-43-and-333-participation" TargetMode="External"/><Relationship Id="rId77" Type="http://schemas.openxmlformats.org/officeDocument/2006/relationships/hyperlink" Target="https://www.mdpi.com/2071-1050/14/9/5110" TargetMode="External"/><Relationship Id="rId8" Type="http://schemas.openxmlformats.org/officeDocument/2006/relationships/hyperlink" Target="https://www.ohchr.org/en/statements/2022/04/ukraine-27-million-people-disabilities-risk-un-committee-warns" TargetMode="External"/><Relationship Id="rId51" Type="http://schemas.openxmlformats.org/officeDocument/2006/relationships/hyperlink" Target="https://www.iddcconsortium.net/wp-content/uploads/2019/11/2018-UNTG-iddc_and_ida_feedback_on_disability_marker_proposal_final.pdf" TargetMode="External"/><Relationship Id="rId72" Type="http://schemas.openxmlformats.org/officeDocument/2006/relationships/hyperlink" Target="https://unsdg.un.org/sites/default/files/UNDG-Gender-Equality-Marker-Guidance-Note-Final-Sep-2013.pdf" TargetMode="External"/><Relationship Id="rId80" Type="http://schemas.openxmlformats.org/officeDocument/2006/relationships/hyperlink" Target="https://www.ohchr.org/en/documents/general-comments-and-recommendations/crpdcgc8-general-comment-no-8-2022-right-persons" TargetMode="External"/><Relationship Id="rId3" Type="http://schemas.openxmlformats.org/officeDocument/2006/relationships/hyperlink" Target="https://www.internationaldisabilityalliance.org/sites/default/files/gds_report_2022_norad.pdf" TargetMode="External"/><Relationship Id="rId12" Type="http://schemas.openxmlformats.org/officeDocument/2006/relationships/hyperlink" Target="https://www.oecd.org/officialdocuments/publicdisplaydocumentpdf/?cote=%20DCD/DAC/STAT(2020)48%20&amp;docLanguage=En" TargetMode="External"/><Relationship Id="rId17" Type="http://schemas.openxmlformats.org/officeDocument/2006/relationships/hyperlink" Target="https://gladnetwork.net/sites/default/files/2021-04/5.%20CatherineFordFoundation.pptx" TargetMode="External"/><Relationship Id="rId25" Type="http://schemas.openxmlformats.org/officeDocument/2006/relationships/hyperlink" Target="https://www.oecd.org/officialdocuments/publicdisplaydocumentpdf/?cote=DCD/DAC/STAT(2020)27&amp;docLanguage=En" TargetMode="External"/><Relationship Id="rId33" Type="http://schemas.openxmlformats.org/officeDocument/2006/relationships/hyperlink" Target="https://www.oecd.org/officialdocuments/publicdisplaydocumentpdf/?cote=DCD/DAC/STAT(2020)27&amp;docLanguage=En" TargetMode="External"/><Relationship Id="rId38" Type="http://schemas.openxmlformats.org/officeDocument/2006/relationships/hyperlink" Target="https://www.norad.no/contentassets/19724d2081c348f59b78d1b47ed6a581/1.21_mapping-of-norwegian-effort-to-include-persons-with-disabilities-in-development-assistance-2010-2019.pdf" TargetMode="External"/><Relationship Id="rId46" Type="http://schemas.openxmlformats.org/officeDocument/2006/relationships/hyperlink" Target="https://gladnetwork.net/sites/default/files/2021-04/5.%20CatherineFordFoundation.pptx" TargetMode="External"/><Relationship Id="rId59" Type="http://schemas.openxmlformats.org/officeDocument/2006/relationships/hyperlink" Target="https://www.oecd.org/dac/gender-development/Handbook-OECD-DAC-Gender-Equality-Policy-Marker.pdf" TargetMode="External"/><Relationship Id="rId67" Type="http://schemas.openxmlformats.org/officeDocument/2006/relationships/hyperlink" Target="https://www.internationaldisabilityalliance.org/sites/default/files/full_ida_global-survey-2022-final.pdf" TargetMode="External"/><Relationship Id="rId20" Type="http://schemas.openxmlformats.org/officeDocument/2006/relationships/hyperlink" Target="https://www.finanzas.gob.ec/wp-content/uploads/downloads/2018/01/armado-web001.compressed-ilovepdf-compressed-ilovepdf-compressed1.pdf" TargetMode="External"/><Relationship Id="rId41" Type="http://schemas.openxmlformats.org/officeDocument/2006/relationships/hyperlink" Target="https://www.norad.no/contentassets/19724d2081c348f59b78d1b47ed6a581/1.21_mapping-of-norwegian-effort-to-include-persons-with-disabilities-in-development-assistance-2010-2019.pdf" TargetMode="External"/><Relationship Id="rId54" Type="http://schemas.openxmlformats.org/officeDocument/2006/relationships/hyperlink" Target="https://www.oecd.org/officialdocuments/publicdisplaydocumentpdf/?cote=%20DCD/DAC/STAT(2020)48%20&amp;docLanguage=En" TargetMode="External"/><Relationship Id="rId62" Type="http://schemas.openxmlformats.org/officeDocument/2006/relationships/hyperlink" Target="https://www.oecd.org/officialdocuments/publicdisplaydocumentpdf/?cote=%20DCD/DAC/STAT(2020)48%20&amp;docLanguage=En" TargetMode="External"/><Relationship Id="rId70" Type="http://schemas.openxmlformats.org/officeDocument/2006/relationships/hyperlink" Target="https://www.norad.no/contentassets/19724d2081c348f59b78d1b47ed6a581/1.21_mapping-of-norwegian-effort-to-include-persons-with-disabilities-in-development-assistance-2010-2019.pdf" TargetMode="External"/><Relationship Id="rId75" Type="http://schemas.openxmlformats.org/officeDocument/2006/relationships/hyperlink" Target="https://www.researchgate.net/profile/Nora-Groce/publication/320757084_The_Disability_and_Development_Gap/links/59f9a785a6fdcc075ec9c52a/The-Disability-and-Development-Gap.pdf" TargetMode="External"/><Relationship Id="rId83" Type="http://schemas.openxmlformats.org/officeDocument/2006/relationships/hyperlink" Target="https://www.iddcconsortium.net/wp-content/uploads/2019/11/2018-UNTG-iddc_and_ida_feedback_on_disability_marker_proposal_final.pdf" TargetMode="External"/><Relationship Id="rId1" Type="http://schemas.openxmlformats.org/officeDocument/2006/relationships/hyperlink" Target="https://www.un.org/disabilities/documents/convention/convoptprot-e.pdf" TargetMode="External"/><Relationship Id="rId6" Type="http://schemas.openxmlformats.org/officeDocument/2006/relationships/hyperlink" Target="https://doi.org/10.1080/19452829.2021.1932774" TargetMode="External"/><Relationship Id="rId15" Type="http://schemas.openxmlformats.org/officeDocument/2006/relationships/hyperlink" Target="https://stats.oecd.org/Index.aspx?DataSetCode=crs1" TargetMode="External"/><Relationship Id="rId23" Type="http://schemas.openxmlformats.org/officeDocument/2006/relationships/hyperlink" Target="https://www.oecd.org/officialdocuments/publicdisplaydocumentpdf/?cote=%20DCD/DAC/STAT(2020)48%20&amp;docLanguage=En" TargetMode="External"/><Relationship Id="rId28" Type="http://schemas.openxmlformats.org/officeDocument/2006/relationships/hyperlink" Target="https://www.ohchr.org/sites/default/files/article-32-indicators-en.pdf" TargetMode="External"/><Relationship Id="rId36" Type="http://schemas.openxmlformats.org/officeDocument/2006/relationships/hyperlink" Target="https://stats.oecd.org/Index.aspx?DataSetCode=crs1" TargetMode="External"/><Relationship Id="rId49" Type="http://schemas.openxmlformats.org/officeDocument/2006/relationships/hyperlink" Target="https://interagencystandingcommittee.org/system/files/legacy_files/2011%20IASC%20Gender%20Marker%20Report%20Final%20Report%2010%20January.pdf" TargetMode="External"/><Relationship Id="rId57" Type="http://schemas.openxmlformats.org/officeDocument/2006/relationships/hyperlink" Target="https://www.oecd.org/dac/gender-development/Handbook-OECD-DAC-Gender-Equality-Policy-Marker.pdf" TargetMode="External"/><Relationship Id="rId10" Type="http://schemas.openxmlformats.org/officeDocument/2006/relationships/hyperlink" Target="https://www.oecd.org/officialdocuments/publicdisplaydocumentpdf/?cote=%20DCD/DAC/STAT(2020)48%20&amp;docLanguage=En" TargetMode="External"/><Relationship Id="rId31" Type="http://schemas.openxmlformats.org/officeDocument/2006/relationships/hyperlink" Target="https://gladnetwork.net/sites/default/files/2021-04/5.%20CatherineFordFoundation.pptx" TargetMode="External"/><Relationship Id="rId44" Type="http://schemas.openxmlformats.org/officeDocument/2006/relationships/hyperlink" Target="https://www.norad.no/globalassets/publikasjoner/publikasjoner-2022/evalueringer/report-5-2022.-evaluation-of-norways-inclusion-of-persons-with-disabilities-in-development-cooperation.pdf" TargetMode="External"/><Relationship Id="rId52" Type="http://schemas.openxmlformats.org/officeDocument/2006/relationships/hyperlink" Target="https://www.edf-feph.org/content/uploads/2022/11/EDF-EC-ODA-marker-2022.docx" TargetMode="External"/><Relationship Id="rId60" Type="http://schemas.openxmlformats.org/officeDocument/2006/relationships/hyperlink" Target="https://www.oecd.org/dac/gender-development/Handbook-OECD-DAC-Gender-Equality-Policy-Marker.pdf" TargetMode="External"/><Relationship Id="rId65" Type="http://schemas.openxmlformats.org/officeDocument/2006/relationships/hyperlink" Target="https://www.oecd.org/officialdocuments/publicdisplaydocumentpdf/?cote=%20DCD/DAC/STAT(2020)48%20&amp;docLanguage=En" TargetMode="External"/><Relationship Id="rId73" Type="http://schemas.openxmlformats.org/officeDocument/2006/relationships/hyperlink" Target="https://icai.independent.gov.uk/wp-content/uploads/ICAI-Disability-Review.pdf" TargetMode="External"/><Relationship Id="rId78" Type="http://schemas.openxmlformats.org/officeDocument/2006/relationships/hyperlink" Target="https://um.fi/documents/35732/0/UM+KPR+2018+ENG+WEB.pdf/944cf817-9d4a-43ca-07a7-2aebd6053801" TargetMode="External"/><Relationship Id="rId81" Type="http://schemas.openxmlformats.org/officeDocument/2006/relationships/hyperlink" Target="https://wfdeaf.org/wp-content/uploads/2018/07/WFD-Position-Paper-on-Inclusive-Education-5-June-2018-FINAL-without-IS.pdf" TargetMode="External"/><Relationship Id="rId4" Type="http://schemas.openxmlformats.org/officeDocument/2006/relationships/hyperlink" Target="https://www.edf-feph.org/projects/mapping-disability-inclusiveness-of-european-member-states-development-and-humanitarianaid/" TargetMode="External"/><Relationship Id="rId9" Type="http://schemas.openxmlformats.org/officeDocument/2006/relationships/hyperlink" Target="https://www.oecd.org/dac/financing-sustainable-development/development-finance-standards/What-is-ODA.pdf" TargetMode="External"/><Relationship Id="rId13" Type="http://schemas.openxmlformats.org/officeDocument/2006/relationships/hyperlink" Target="https://stats.oecd.org/index.aspx?DataSetCode=CRS1" TargetMode="External"/><Relationship Id="rId18" Type="http://schemas.openxmlformats.org/officeDocument/2006/relationships/hyperlink" Target="https://www.un.org/sites/un2.un.org/files/undis_sg_report_2021_english.pdf" TargetMode="External"/><Relationship Id="rId39" Type="http://schemas.openxmlformats.org/officeDocument/2006/relationships/hyperlink" Target="https://leave-no-one-behind.ch/wp-content/uploads/2021/12/211025-Factsheet-Disability-Marker-EN.pdf" TargetMode="External"/><Relationship Id="rId34" Type="http://schemas.openxmlformats.org/officeDocument/2006/relationships/hyperlink" Target="https://uploads-ssl.webflow.com/60fea532c3e33e5c5701d99a/621f35f5753580011152d4ea_Fafo-rapporten.pdf" TargetMode="External"/><Relationship Id="rId50" Type="http://schemas.openxmlformats.org/officeDocument/2006/relationships/hyperlink" Target="https://oxfamilibrary.openrepository.com/bitstream/handle/10546/620945/rr-are-they-really-gender-equality-projects-donors-050220-en.pdf?sequence=1" TargetMode="External"/><Relationship Id="rId55" Type="http://schemas.openxmlformats.org/officeDocument/2006/relationships/hyperlink" Target="https://www.oecd.org/officialdocuments/publicdisplaydocumentpdf/?cote=%20DCD/DAC/STAT(2020)48%20&amp;docLanguage=En" TargetMode="External"/><Relationship Id="rId76" Type="http://schemas.openxmlformats.org/officeDocument/2006/relationships/hyperlink" Target="https://www.ingentaconnect.com/content/sil/impact/2018/00002018/00000004/art00027" TargetMode="External"/><Relationship Id="rId7" Type="http://schemas.openxmlformats.org/officeDocument/2006/relationships/hyperlink" Target="https://dailyguidenetwork.com/pwds-threaten-to-demonstrate-over-high-cost-of-living/" TargetMode="External"/><Relationship Id="rId71" Type="http://schemas.openxmlformats.org/officeDocument/2006/relationships/hyperlink" Target="https://www.norad.no/contentassets/19724d2081c348f59b78d1b47ed6a581/1.21_mapping-of-norwegian-effort-to-include-persons-with-disabilities-in-development-assistance-2010-2019.pdf" TargetMode="External"/><Relationship Id="rId2" Type="http://schemas.openxmlformats.org/officeDocument/2006/relationships/hyperlink" Target="https://sustainabledevelopment.un.org/post2015/transformingourworld" TargetMode="External"/><Relationship Id="rId29" Type="http://schemas.openxmlformats.org/officeDocument/2006/relationships/hyperlink" Target="https://www.ohchr.org/sites/default/files/data-sources-article-32.pdf" TargetMode="External"/><Relationship Id="rId24" Type="http://schemas.openxmlformats.org/officeDocument/2006/relationships/hyperlink" Target="https://leave-no-one-behind.ch/wp-content/uploads/2021/12/211025-Factsheet-Disability-Marker-EN.pdf" TargetMode="External"/><Relationship Id="rId40" Type="http://schemas.openxmlformats.org/officeDocument/2006/relationships/hyperlink" Target="https://www.edf-feph.org/content/uploads/2022/11/EDF-EC-ODA-marker-2022.docx" TargetMode="External"/><Relationship Id="rId45" Type="http://schemas.openxmlformats.org/officeDocument/2006/relationships/hyperlink" Target="https://www.oecd.org/officialdocuments/publicdisplaydocumentpdf/?cote=%20DCD/DAC/STAT(2020)48%20&amp;docLanguage=En" TargetMode="External"/><Relationship Id="rId66" Type="http://schemas.openxmlformats.org/officeDocument/2006/relationships/hyperlink" Target="https://www.oecd.org/dac/gender-development/Handbook-OECD-DAC-Gender-Equality-Policy-Marker.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Kitty\Documents\Atlas%20Alliance%20-%20DAC\2021%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itty\Documents\Atlas%20Alliance%20-%20DAC\2021%20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itty\Documents\CBM%20-%20DAC\EDF\2020%20EU%20analysi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v>Marker used</c:v>
          </c:tx>
          <c:spPr>
            <a:solidFill>
              <a:schemeClr val="accent1"/>
            </a:solidFill>
            <a:ln>
              <a:noFill/>
            </a:ln>
            <a:effectLst/>
          </c:spPr>
          <c:invertIfNegative val="0"/>
          <c:cat>
            <c:strRef>
              <c:f>Sheet3!$A$1:$AD$1</c:f>
              <c:strCache>
                <c:ptCount val="30"/>
                <c:pt idx="0">
                  <c:v>Aotearoa New Zealand</c:v>
                </c:pt>
                <c:pt idx="1">
                  <c:v>Australia</c:v>
                </c:pt>
                <c:pt idx="2">
                  <c:v>Austria</c:v>
                </c:pt>
                <c:pt idx="3">
                  <c:v>Belgium</c:v>
                </c:pt>
                <c:pt idx="4">
                  <c:v>Canada</c:v>
                </c:pt>
                <c:pt idx="5">
                  <c:v>Czech Republic</c:v>
                </c:pt>
                <c:pt idx="6">
                  <c:v>Denmark</c:v>
                </c:pt>
                <c:pt idx="7">
                  <c:v>European Union</c:v>
                </c:pt>
                <c:pt idx="8">
                  <c:v>Finland</c:v>
                </c:pt>
                <c:pt idx="9">
                  <c:v>France</c:v>
                </c:pt>
                <c:pt idx="10">
                  <c:v>Germany</c:v>
                </c:pt>
                <c:pt idx="11">
                  <c:v>Greece</c:v>
                </c:pt>
                <c:pt idx="12">
                  <c:v>Hungary</c:v>
                </c:pt>
                <c:pt idx="13">
                  <c:v>Iceland</c:v>
                </c:pt>
                <c:pt idx="14">
                  <c:v>Ireland</c:v>
                </c:pt>
                <c:pt idx="15">
                  <c:v>Italy</c:v>
                </c:pt>
                <c:pt idx="16">
                  <c:v>Japan</c:v>
                </c:pt>
                <c:pt idx="17">
                  <c:v>Korea</c:v>
                </c:pt>
                <c:pt idx="18">
                  <c:v>Luxembourg</c:v>
                </c:pt>
                <c:pt idx="19">
                  <c:v>Netherlands</c:v>
                </c:pt>
                <c:pt idx="20">
                  <c:v>Norway</c:v>
                </c:pt>
                <c:pt idx="21">
                  <c:v>Poland</c:v>
                </c:pt>
                <c:pt idx="22">
                  <c:v>Portugal</c:v>
                </c:pt>
                <c:pt idx="23">
                  <c:v>Slovak Republic</c:v>
                </c:pt>
                <c:pt idx="24">
                  <c:v>Slovenia</c:v>
                </c:pt>
                <c:pt idx="25">
                  <c:v>Spain</c:v>
                </c:pt>
                <c:pt idx="26">
                  <c:v>Sweden</c:v>
                </c:pt>
                <c:pt idx="27">
                  <c:v>Switzerland</c:v>
                </c:pt>
                <c:pt idx="28">
                  <c:v>United Kingdom</c:v>
                </c:pt>
                <c:pt idx="29">
                  <c:v>United States</c:v>
                </c:pt>
              </c:strCache>
            </c:strRef>
          </c:cat>
          <c:val>
            <c:numRef>
              <c:f>Sheet3!$A$2:$AD$2</c:f>
              <c:numCache>
                <c:formatCode>0%</c:formatCode>
                <c:ptCount val="30"/>
                <c:pt idx="0">
                  <c:v>1</c:v>
                </c:pt>
                <c:pt idx="1">
                  <c:v>1</c:v>
                </c:pt>
                <c:pt idx="2">
                  <c:v>0.99317738791423005</c:v>
                </c:pt>
                <c:pt idx="3">
                  <c:v>0</c:v>
                </c:pt>
                <c:pt idx="4">
                  <c:v>1</c:v>
                </c:pt>
                <c:pt idx="5">
                  <c:v>1</c:v>
                </c:pt>
                <c:pt idx="6">
                  <c:v>0.89184234647112737</c:v>
                </c:pt>
                <c:pt idx="7">
                  <c:v>0.94</c:v>
                </c:pt>
                <c:pt idx="8">
                  <c:v>0.88114104595879561</c:v>
                </c:pt>
                <c:pt idx="9">
                  <c:v>0.50626358836318452</c:v>
                </c:pt>
                <c:pt idx="10">
                  <c:v>0</c:v>
                </c:pt>
                <c:pt idx="11">
                  <c:v>0</c:v>
                </c:pt>
                <c:pt idx="12">
                  <c:v>0</c:v>
                </c:pt>
                <c:pt idx="13">
                  <c:v>1</c:v>
                </c:pt>
                <c:pt idx="14">
                  <c:v>0.86441507586882038</c:v>
                </c:pt>
                <c:pt idx="15">
                  <c:v>0.85694444444444451</c:v>
                </c:pt>
                <c:pt idx="16">
                  <c:v>0.29618548990276738</c:v>
                </c:pt>
                <c:pt idx="17">
                  <c:v>0.35822401614530774</c:v>
                </c:pt>
                <c:pt idx="18">
                  <c:v>0</c:v>
                </c:pt>
                <c:pt idx="19">
                  <c:v>0</c:v>
                </c:pt>
                <c:pt idx="20">
                  <c:v>1</c:v>
                </c:pt>
                <c:pt idx="21">
                  <c:v>0.99411764705882355</c:v>
                </c:pt>
                <c:pt idx="22">
                  <c:v>0</c:v>
                </c:pt>
                <c:pt idx="23">
                  <c:v>0.99118942731277537</c:v>
                </c:pt>
                <c:pt idx="24">
                  <c:v>0</c:v>
                </c:pt>
                <c:pt idx="25">
                  <c:v>0.99977663614027246</c:v>
                </c:pt>
                <c:pt idx="26">
                  <c:v>0.92720306513409967</c:v>
                </c:pt>
                <c:pt idx="27">
                  <c:v>1</c:v>
                </c:pt>
                <c:pt idx="28">
                  <c:v>0.91625207296849087</c:v>
                </c:pt>
                <c:pt idx="29">
                  <c:v>0</c:v>
                </c:pt>
              </c:numCache>
            </c:numRef>
          </c:val>
          <c:extLst>
            <c:ext xmlns:c16="http://schemas.microsoft.com/office/drawing/2014/chart" uri="{C3380CC4-5D6E-409C-BE32-E72D297353CC}">
              <c16:uniqueId val="{00000000-A908-45FB-9627-76C8C0F23708}"/>
            </c:ext>
          </c:extLst>
        </c:ser>
        <c:ser>
          <c:idx val="1"/>
          <c:order val="1"/>
          <c:tx>
            <c:v>Marker *not* used</c:v>
          </c:tx>
          <c:spPr>
            <a:solidFill>
              <a:schemeClr val="accent2"/>
            </a:solidFill>
            <a:ln>
              <a:noFill/>
            </a:ln>
            <a:effectLst/>
          </c:spPr>
          <c:invertIfNegative val="0"/>
          <c:cat>
            <c:strRef>
              <c:f>Sheet3!$A$1:$AD$1</c:f>
              <c:strCache>
                <c:ptCount val="30"/>
                <c:pt idx="0">
                  <c:v>Aotearoa New Zealand</c:v>
                </c:pt>
                <c:pt idx="1">
                  <c:v>Australia</c:v>
                </c:pt>
                <c:pt idx="2">
                  <c:v>Austria</c:v>
                </c:pt>
                <c:pt idx="3">
                  <c:v>Belgium</c:v>
                </c:pt>
                <c:pt idx="4">
                  <c:v>Canada</c:v>
                </c:pt>
                <c:pt idx="5">
                  <c:v>Czech Republic</c:v>
                </c:pt>
                <c:pt idx="6">
                  <c:v>Denmark</c:v>
                </c:pt>
                <c:pt idx="7">
                  <c:v>European Union</c:v>
                </c:pt>
                <c:pt idx="8">
                  <c:v>Finland</c:v>
                </c:pt>
                <c:pt idx="9">
                  <c:v>France</c:v>
                </c:pt>
                <c:pt idx="10">
                  <c:v>Germany</c:v>
                </c:pt>
                <c:pt idx="11">
                  <c:v>Greece</c:v>
                </c:pt>
                <c:pt idx="12">
                  <c:v>Hungary</c:v>
                </c:pt>
                <c:pt idx="13">
                  <c:v>Iceland</c:v>
                </c:pt>
                <c:pt idx="14">
                  <c:v>Ireland</c:v>
                </c:pt>
                <c:pt idx="15">
                  <c:v>Italy</c:v>
                </c:pt>
                <c:pt idx="16">
                  <c:v>Japan</c:v>
                </c:pt>
                <c:pt idx="17">
                  <c:v>Korea</c:v>
                </c:pt>
                <c:pt idx="18">
                  <c:v>Luxembourg</c:v>
                </c:pt>
                <c:pt idx="19">
                  <c:v>Netherlands</c:v>
                </c:pt>
                <c:pt idx="20">
                  <c:v>Norway</c:v>
                </c:pt>
                <c:pt idx="21">
                  <c:v>Poland</c:v>
                </c:pt>
                <c:pt idx="22">
                  <c:v>Portugal</c:v>
                </c:pt>
                <c:pt idx="23">
                  <c:v>Slovak Republic</c:v>
                </c:pt>
                <c:pt idx="24">
                  <c:v>Slovenia</c:v>
                </c:pt>
                <c:pt idx="25">
                  <c:v>Spain</c:v>
                </c:pt>
                <c:pt idx="26">
                  <c:v>Sweden</c:v>
                </c:pt>
                <c:pt idx="27">
                  <c:v>Switzerland</c:v>
                </c:pt>
                <c:pt idx="28">
                  <c:v>United Kingdom</c:v>
                </c:pt>
                <c:pt idx="29">
                  <c:v>United States</c:v>
                </c:pt>
              </c:strCache>
            </c:strRef>
          </c:cat>
          <c:val>
            <c:numRef>
              <c:f>Sheet3!$A$3:$AD$3</c:f>
              <c:numCache>
                <c:formatCode>0%</c:formatCode>
                <c:ptCount val="30"/>
                <c:pt idx="0">
                  <c:v>0</c:v>
                </c:pt>
                <c:pt idx="1">
                  <c:v>0</c:v>
                </c:pt>
                <c:pt idx="2">
                  <c:v>6.8226120857699524E-3</c:v>
                </c:pt>
                <c:pt idx="3">
                  <c:v>1</c:v>
                </c:pt>
                <c:pt idx="4">
                  <c:v>0</c:v>
                </c:pt>
                <c:pt idx="5">
                  <c:v>0</c:v>
                </c:pt>
                <c:pt idx="6">
                  <c:v>0.10815765352887263</c:v>
                </c:pt>
                <c:pt idx="7">
                  <c:v>6.0000000000000053E-2</c:v>
                </c:pt>
                <c:pt idx="8">
                  <c:v>0.11885895404120439</c:v>
                </c:pt>
                <c:pt idx="9">
                  <c:v>0.49373641163681548</c:v>
                </c:pt>
                <c:pt idx="10">
                  <c:v>1</c:v>
                </c:pt>
                <c:pt idx="11">
                  <c:v>1</c:v>
                </c:pt>
                <c:pt idx="12">
                  <c:v>1</c:v>
                </c:pt>
                <c:pt idx="13">
                  <c:v>0</c:v>
                </c:pt>
                <c:pt idx="14">
                  <c:v>0.13558492413117962</c:v>
                </c:pt>
                <c:pt idx="15">
                  <c:v>0.14305555555555549</c:v>
                </c:pt>
                <c:pt idx="16">
                  <c:v>0.70381451009723262</c:v>
                </c:pt>
                <c:pt idx="17">
                  <c:v>0.64177598385469226</c:v>
                </c:pt>
                <c:pt idx="18">
                  <c:v>1</c:v>
                </c:pt>
                <c:pt idx="19">
                  <c:v>1</c:v>
                </c:pt>
                <c:pt idx="20">
                  <c:v>0</c:v>
                </c:pt>
                <c:pt idx="21">
                  <c:v>5.8823529411764497E-3</c:v>
                </c:pt>
                <c:pt idx="22">
                  <c:v>1</c:v>
                </c:pt>
                <c:pt idx="23">
                  <c:v>8.8105726872246271E-3</c:v>
                </c:pt>
                <c:pt idx="24">
                  <c:v>1</c:v>
                </c:pt>
                <c:pt idx="25">
                  <c:v>2.2336385972754336E-4</c:v>
                </c:pt>
                <c:pt idx="26">
                  <c:v>7.2796934865900331E-2</c:v>
                </c:pt>
                <c:pt idx="27">
                  <c:v>0</c:v>
                </c:pt>
                <c:pt idx="28">
                  <c:v>8.3747927031509128E-2</c:v>
                </c:pt>
                <c:pt idx="29">
                  <c:v>1</c:v>
                </c:pt>
              </c:numCache>
            </c:numRef>
          </c:val>
          <c:extLst>
            <c:ext xmlns:c16="http://schemas.microsoft.com/office/drawing/2014/chart" uri="{C3380CC4-5D6E-409C-BE32-E72D297353CC}">
              <c16:uniqueId val="{00000001-A908-45FB-9627-76C8C0F23708}"/>
            </c:ext>
          </c:extLst>
        </c:ser>
        <c:dLbls>
          <c:showLegendKey val="0"/>
          <c:showVal val="0"/>
          <c:showCatName val="0"/>
          <c:showSerName val="0"/>
          <c:showPercent val="0"/>
          <c:showBubbleSize val="0"/>
        </c:dLbls>
        <c:gapWidth val="150"/>
        <c:overlap val="100"/>
        <c:axId val="1360856991"/>
        <c:axId val="1360869055"/>
      </c:barChart>
      <c:catAx>
        <c:axId val="1360856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UG"/>
          </a:p>
        </c:txPr>
        <c:crossAx val="1360869055"/>
        <c:crosses val="autoZero"/>
        <c:auto val="1"/>
        <c:lblAlgn val="ctr"/>
        <c:lblOffset val="100"/>
        <c:noMultiLvlLbl val="0"/>
      </c:catAx>
      <c:valAx>
        <c:axId val="136086905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UG"/>
          </a:p>
        </c:txPr>
        <c:crossAx val="13608569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U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U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v>Score 2  (disability inclusion is principal objective)</c:v>
          </c:tx>
          <c:spPr>
            <a:solidFill>
              <a:schemeClr val="accent1"/>
            </a:solidFill>
            <a:ln>
              <a:noFill/>
            </a:ln>
            <a:effectLst/>
          </c:spPr>
          <c:invertIfNegative val="0"/>
          <c:cat>
            <c:strRef>
              <c:f>'figure 2'!$A$1:$AD$1</c:f>
              <c:strCache>
                <c:ptCount val="30"/>
                <c:pt idx="0">
                  <c:v>Aotearoa New Zealand</c:v>
                </c:pt>
                <c:pt idx="1">
                  <c:v>Australia</c:v>
                </c:pt>
                <c:pt idx="2">
                  <c:v>Austria</c:v>
                </c:pt>
                <c:pt idx="3">
                  <c:v>Belgium</c:v>
                </c:pt>
                <c:pt idx="4">
                  <c:v>Canada</c:v>
                </c:pt>
                <c:pt idx="5">
                  <c:v>Czech Republic</c:v>
                </c:pt>
                <c:pt idx="6">
                  <c:v>Denmark</c:v>
                </c:pt>
                <c:pt idx="7">
                  <c:v>European Union</c:v>
                </c:pt>
                <c:pt idx="8">
                  <c:v>Finland</c:v>
                </c:pt>
                <c:pt idx="9">
                  <c:v>France</c:v>
                </c:pt>
                <c:pt idx="10">
                  <c:v>Germany</c:v>
                </c:pt>
                <c:pt idx="11">
                  <c:v>Greece</c:v>
                </c:pt>
                <c:pt idx="12">
                  <c:v>Hungary</c:v>
                </c:pt>
                <c:pt idx="13">
                  <c:v>Iceland</c:v>
                </c:pt>
                <c:pt idx="14">
                  <c:v>Ireland</c:v>
                </c:pt>
                <c:pt idx="15">
                  <c:v>Italy</c:v>
                </c:pt>
                <c:pt idx="16">
                  <c:v>Japan</c:v>
                </c:pt>
                <c:pt idx="17">
                  <c:v>Korea</c:v>
                </c:pt>
                <c:pt idx="18">
                  <c:v>Luxembourg</c:v>
                </c:pt>
                <c:pt idx="19">
                  <c:v>Netherlands</c:v>
                </c:pt>
                <c:pt idx="20">
                  <c:v>Norway</c:v>
                </c:pt>
                <c:pt idx="21">
                  <c:v>Poland</c:v>
                </c:pt>
                <c:pt idx="22">
                  <c:v>Portugal</c:v>
                </c:pt>
                <c:pt idx="23">
                  <c:v>Slovak Republic</c:v>
                </c:pt>
                <c:pt idx="24">
                  <c:v>Slovenia</c:v>
                </c:pt>
                <c:pt idx="25">
                  <c:v>Spain</c:v>
                </c:pt>
                <c:pt idx="26">
                  <c:v>Sweden</c:v>
                </c:pt>
                <c:pt idx="27">
                  <c:v>Switzerland</c:v>
                </c:pt>
                <c:pt idx="28">
                  <c:v>United Kingdom</c:v>
                </c:pt>
                <c:pt idx="29">
                  <c:v>United States</c:v>
                </c:pt>
              </c:strCache>
            </c:strRef>
          </c:cat>
          <c:val>
            <c:numRef>
              <c:f>'figure 2'!$A$2:$AD$2</c:f>
              <c:numCache>
                <c:formatCode>0%</c:formatCode>
                <c:ptCount val="30"/>
                <c:pt idx="0">
                  <c:v>2.4137931034482758E-2</c:v>
                </c:pt>
                <c:pt idx="1">
                  <c:v>1.3434841021047917E-3</c:v>
                </c:pt>
                <c:pt idx="2">
                  <c:v>9.7465886939571145E-3</c:v>
                </c:pt>
                <c:pt idx="3">
                  <c:v>0</c:v>
                </c:pt>
                <c:pt idx="4">
                  <c:v>2.2203672787979967E-2</c:v>
                </c:pt>
                <c:pt idx="5">
                  <c:v>2.3809523809523808E-2</c:v>
                </c:pt>
                <c:pt idx="6">
                  <c:v>2.7497708524289641E-3</c:v>
                </c:pt>
                <c:pt idx="7">
                  <c:v>0.01</c:v>
                </c:pt>
                <c:pt idx="8">
                  <c:v>6.0221870047543584E-2</c:v>
                </c:pt>
                <c:pt idx="9">
                  <c:v>4.6588673775753179E-3</c:v>
                </c:pt>
                <c:pt idx="10">
                  <c:v>0</c:v>
                </c:pt>
                <c:pt idx="11">
                  <c:v>0</c:v>
                </c:pt>
                <c:pt idx="12">
                  <c:v>0</c:v>
                </c:pt>
                <c:pt idx="13">
                  <c:v>8.9285714285714281E-3</c:v>
                </c:pt>
                <c:pt idx="14">
                  <c:v>7.7826725403817909E-2</c:v>
                </c:pt>
                <c:pt idx="15">
                  <c:v>5.1736111111111108E-2</c:v>
                </c:pt>
                <c:pt idx="16">
                  <c:v>1.0471204188481676E-2</c:v>
                </c:pt>
                <c:pt idx="17">
                  <c:v>4.0363269424823411E-3</c:v>
                </c:pt>
                <c:pt idx="18">
                  <c:v>0</c:v>
                </c:pt>
                <c:pt idx="19">
                  <c:v>0</c:v>
                </c:pt>
                <c:pt idx="20">
                  <c:v>1.9408054342552158E-2</c:v>
                </c:pt>
                <c:pt idx="21">
                  <c:v>5.4901960784313725E-2</c:v>
                </c:pt>
                <c:pt idx="22">
                  <c:v>0</c:v>
                </c:pt>
                <c:pt idx="23">
                  <c:v>0</c:v>
                </c:pt>
                <c:pt idx="24">
                  <c:v>0</c:v>
                </c:pt>
                <c:pt idx="25">
                  <c:v>2.8367210185392004E-2</c:v>
                </c:pt>
                <c:pt idx="26">
                  <c:v>5.108556832694764E-3</c:v>
                </c:pt>
                <c:pt idx="27">
                  <c:v>5.0875355379320667E-3</c:v>
                </c:pt>
                <c:pt idx="28">
                  <c:v>3.0058043117744609E-2</c:v>
                </c:pt>
                <c:pt idx="29">
                  <c:v>0</c:v>
                </c:pt>
              </c:numCache>
            </c:numRef>
          </c:val>
          <c:extLst>
            <c:ext xmlns:c16="http://schemas.microsoft.com/office/drawing/2014/chart" uri="{C3380CC4-5D6E-409C-BE32-E72D297353CC}">
              <c16:uniqueId val="{00000000-484C-4E40-9570-A8F6F8075BE8}"/>
            </c:ext>
          </c:extLst>
        </c:ser>
        <c:ser>
          <c:idx val="1"/>
          <c:order val="1"/>
          <c:tx>
            <c:v>Score 1 (disability inclusion is significant objective)</c:v>
          </c:tx>
          <c:spPr>
            <a:solidFill>
              <a:schemeClr val="accent2"/>
            </a:solidFill>
            <a:ln>
              <a:noFill/>
            </a:ln>
            <a:effectLst/>
          </c:spPr>
          <c:invertIfNegative val="0"/>
          <c:cat>
            <c:strRef>
              <c:f>'figure 2'!$A$1:$AD$1</c:f>
              <c:strCache>
                <c:ptCount val="30"/>
                <c:pt idx="0">
                  <c:v>Aotearoa New Zealand</c:v>
                </c:pt>
                <c:pt idx="1">
                  <c:v>Australia</c:v>
                </c:pt>
                <c:pt idx="2">
                  <c:v>Austria</c:v>
                </c:pt>
                <c:pt idx="3">
                  <c:v>Belgium</c:v>
                </c:pt>
                <c:pt idx="4">
                  <c:v>Canada</c:v>
                </c:pt>
                <c:pt idx="5">
                  <c:v>Czech Republic</c:v>
                </c:pt>
                <c:pt idx="6">
                  <c:v>Denmark</c:v>
                </c:pt>
                <c:pt idx="7">
                  <c:v>European Union</c:v>
                </c:pt>
                <c:pt idx="8">
                  <c:v>Finland</c:v>
                </c:pt>
                <c:pt idx="9">
                  <c:v>France</c:v>
                </c:pt>
                <c:pt idx="10">
                  <c:v>Germany</c:v>
                </c:pt>
                <c:pt idx="11">
                  <c:v>Greece</c:v>
                </c:pt>
                <c:pt idx="12">
                  <c:v>Hungary</c:v>
                </c:pt>
                <c:pt idx="13">
                  <c:v>Iceland</c:v>
                </c:pt>
                <c:pt idx="14">
                  <c:v>Ireland</c:v>
                </c:pt>
                <c:pt idx="15">
                  <c:v>Italy</c:v>
                </c:pt>
                <c:pt idx="16">
                  <c:v>Japan</c:v>
                </c:pt>
                <c:pt idx="17">
                  <c:v>Korea</c:v>
                </c:pt>
                <c:pt idx="18">
                  <c:v>Luxembourg</c:v>
                </c:pt>
                <c:pt idx="19">
                  <c:v>Netherlands</c:v>
                </c:pt>
                <c:pt idx="20">
                  <c:v>Norway</c:v>
                </c:pt>
                <c:pt idx="21">
                  <c:v>Poland</c:v>
                </c:pt>
                <c:pt idx="22">
                  <c:v>Portugal</c:v>
                </c:pt>
                <c:pt idx="23">
                  <c:v>Slovak Republic</c:v>
                </c:pt>
                <c:pt idx="24">
                  <c:v>Slovenia</c:v>
                </c:pt>
                <c:pt idx="25">
                  <c:v>Spain</c:v>
                </c:pt>
                <c:pt idx="26">
                  <c:v>Sweden</c:v>
                </c:pt>
                <c:pt idx="27">
                  <c:v>Switzerland</c:v>
                </c:pt>
                <c:pt idx="28">
                  <c:v>United Kingdom</c:v>
                </c:pt>
                <c:pt idx="29">
                  <c:v>United States</c:v>
                </c:pt>
              </c:strCache>
            </c:strRef>
          </c:cat>
          <c:val>
            <c:numRef>
              <c:f>'figure 2'!$A$3:$AD$3</c:f>
              <c:numCache>
                <c:formatCode>0%</c:formatCode>
                <c:ptCount val="30"/>
                <c:pt idx="0">
                  <c:v>5.5172413793103448E-2</c:v>
                </c:pt>
                <c:pt idx="1">
                  <c:v>6.2472010747872814E-2</c:v>
                </c:pt>
                <c:pt idx="2">
                  <c:v>3.4113060428849901E-2</c:v>
                </c:pt>
                <c:pt idx="3">
                  <c:v>0</c:v>
                </c:pt>
                <c:pt idx="4">
                  <c:v>6.7278797996661102E-2</c:v>
                </c:pt>
                <c:pt idx="5">
                  <c:v>7.3412698412698416E-2</c:v>
                </c:pt>
                <c:pt idx="6">
                  <c:v>3.6663611365719525E-3</c:v>
                </c:pt>
                <c:pt idx="7">
                  <c:v>0.23</c:v>
                </c:pt>
                <c:pt idx="8">
                  <c:v>0.18541996830427893</c:v>
                </c:pt>
                <c:pt idx="9">
                  <c:v>1.9981364530489699E-2</c:v>
                </c:pt>
                <c:pt idx="10">
                  <c:v>0</c:v>
                </c:pt>
                <c:pt idx="11">
                  <c:v>0</c:v>
                </c:pt>
                <c:pt idx="12">
                  <c:v>0</c:v>
                </c:pt>
                <c:pt idx="13">
                  <c:v>0.41964285714285715</c:v>
                </c:pt>
                <c:pt idx="14">
                  <c:v>0.12481644640234948</c:v>
                </c:pt>
                <c:pt idx="15">
                  <c:v>9.166666666666666E-2</c:v>
                </c:pt>
                <c:pt idx="16">
                  <c:v>7.139457401237506E-3</c:v>
                </c:pt>
                <c:pt idx="17">
                  <c:v>4.0363269424823411E-3</c:v>
                </c:pt>
                <c:pt idx="18">
                  <c:v>0</c:v>
                </c:pt>
                <c:pt idx="19">
                  <c:v>0</c:v>
                </c:pt>
                <c:pt idx="20">
                  <c:v>3.9786511402231925E-2</c:v>
                </c:pt>
                <c:pt idx="21">
                  <c:v>0.11764705882352941</c:v>
                </c:pt>
                <c:pt idx="22">
                  <c:v>0</c:v>
                </c:pt>
                <c:pt idx="23">
                  <c:v>0</c:v>
                </c:pt>
                <c:pt idx="24">
                  <c:v>0</c:v>
                </c:pt>
                <c:pt idx="25">
                  <c:v>6.6785794058521336E-2</c:v>
                </c:pt>
                <c:pt idx="26">
                  <c:v>7.9182630906768844E-2</c:v>
                </c:pt>
                <c:pt idx="27">
                  <c:v>2.7682178662277419E-2</c:v>
                </c:pt>
                <c:pt idx="28">
                  <c:v>0.1353648424543947</c:v>
                </c:pt>
                <c:pt idx="29">
                  <c:v>0</c:v>
                </c:pt>
              </c:numCache>
            </c:numRef>
          </c:val>
          <c:extLst>
            <c:ext xmlns:c16="http://schemas.microsoft.com/office/drawing/2014/chart" uri="{C3380CC4-5D6E-409C-BE32-E72D297353CC}">
              <c16:uniqueId val="{00000001-484C-4E40-9570-A8F6F8075BE8}"/>
            </c:ext>
          </c:extLst>
        </c:ser>
        <c:dLbls>
          <c:showLegendKey val="0"/>
          <c:showVal val="0"/>
          <c:showCatName val="0"/>
          <c:showSerName val="0"/>
          <c:showPercent val="0"/>
          <c:showBubbleSize val="0"/>
        </c:dLbls>
        <c:gapWidth val="150"/>
        <c:overlap val="100"/>
        <c:axId val="1555748192"/>
        <c:axId val="1555741952"/>
      </c:barChart>
      <c:catAx>
        <c:axId val="1555748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UG"/>
          </a:p>
        </c:txPr>
        <c:crossAx val="1555741952"/>
        <c:crosses val="autoZero"/>
        <c:auto val="1"/>
        <c:lblAlgn val="ctr"/>
        <c:lblOffset val="100"/>
        <c:noMultiLvlLbl val="0"/>
      </c:catAx>
      <c:valAx>
        <c:axId val="15557419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UG"/>
          </a:p>
        </c:txPr>
        <c:crossAx val="1555748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U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UG"/>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b-N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'Chart 2'!$B$1</c:f>
              <c:strCache>
                <c:ptCount val="1"/>
                <c:pt idx="0">
                  <c:v>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16B-44FB-B973-3242403A4E4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16B-44FB-B973-3242403A4E46}"/>
              </c:ext>
            </c:extLst>
          </c:dPt>
          <c:cat>
            <c:strRef>
              <c:f>'Chart 2'!$A$2:$A$3</c:f>
              <c:strCache>
                <c:ptCount val="2"/>
                <c:pt idx="0">
                  <c:v>Objective(s) on disability inclusion</c:v>
                </c:pt>
                <c:pt idx="1">
                  <c:v>No objectives on disability inclusion</c:v>
                </c:pt>
              </c:strCache>
            </c:strRef>
          </c:cat>
          <c:val>
            <c:numRef>
              <c:f>'Chart 2'!$B$2:$B$3</c:f>
              <c:numCache>
                <c:formatCode>0.00%</c:formatCode>
                <c:ptCount val="2"/>
                <c:pt idx="0">
                  <c:v>0.15585774058577406</c:v>
                </c:pt>
                <c:pt idx="1">
                  <c:v>0.84414225941422594</c:v>
                </c:pt>
              </c:numCache>
            </c:numRef>
          </c:val>
          <c:extLst>
            <c:ext xmlns:c16="http://schemas.microsoft.com/office/drawing/2014/chart" uri="{C3380CC4-5D6E-409C-BE32-E72D297353CC}">
              <c16:uniqueId val="{00000004-416B-44FB-B973-3242403A4E4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b-UG"/>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b-UG"/>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BBEF8ECDE465C4EB8C008BE5B11D214" ma:contentTypeVersion="6" ma:contentTypeDescription="Opprett et nytt dokument." ma:contentTypeScope="" ma:versionID="6292bd3a4d15c224cba9e5d12ea93888">
  <xsd:schema xmlns:xsd="http://www.w3.org/2001/XMLSchema" xmlns:xs="http://www.w3.org/2001/XMLSchema" xmlns:p="http://schemas.microsoft.com/office/2006/metadata/properties" xmlns:ns2="203a2c4d-1a50-47df-b911-52a89162e3ce" xmlns:ns3="95876f83-c318-438e-a9f2-eda20dade8b5" targetNamespace="http://schemas.microsoft.com/office/2006/metadata/properties" ma:root="true" ma:fieldsID="30d47947cc7b6e1d8ad587a653a5e0d1" ns2:_="" ns3:_="">
    <xsd:import namespace="203a2c4d-1a50-47df-b911-52a89162e3ce"/>
    <xsd:import namespace="95876f83-c318-438e-a9f2-eda20dade8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a2c4d-1a50-47df-b911-52a89162e3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876f83-c318-438e-a9f2-eda20dade8b5"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2605BF-1243-402C-830A-01B1B5B41AAB}">
  <ds:schemaRefs>
    <ds:schemaRef ds:uri="http://schemas.openxmlformats.org/officeDocument/2006/bibliography"/>
  </ds:schemaRefs>
</ds:datastoreItem>
</file>

<file path=customXml/itemProps2.xml><?xml version="1.0" encoding="utf-8"?>
<ds:datastoreItem xmlns:ds="http://schemas.openxmlformats.org/officeDocument/2006/customXml" ds:itemID="{69AAD843-0490-4005-B0DE-31E248D657FD}"/>
</file>

<file path=customXml/itemProps3.xml><?xml version="1.0" encoding="utf-8"?>
<ds:datastoreItem xmlns:ds="http://schemas.openxmlformats.org/officeDocument/2006/customXml" ds:itemID="{AA8805CA-1D57-4037-8967-646C437B6A62}"/>
</file>

<file path=customXml/itemProps4.xml><?xml version="1.0" encoding="utf-8"?>
<ds:datastoreItem xmlns:ds="http://schemas.openxmlformats.org/officeDocument/2006/customXml" ds:itemID="{BFBF30CC-A2E7-4AC6-8E27-B4B36BEFE78A}"/>
</file>

<file path=docProps/app.xml><?xml version="1.0" encoding="utf-8"?>
<Properties xmlns="http://schemas.openxmlformats.org/officeDocument/2006/extended-properties" xmlns:vt="http://schemas.openxmlformats.org/officeDocument/2006/docPropsVTypes">
  <Template>Normal.dotm</Template>
  <TotalTime>15</TotalTime>
  <Pages>34</Pages>
  <Words>12343</Words>
  <Characters>65418</Characters>
  <Application>Microsoft Office Word</Application>
  <DocSecurity>0</DocSecurity>
  <Lines>545</Lines>
  <Paragraphs>155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Meeks</dc:creator>
  <cp:keywords/>
  <dc:description/>
  <cp:lastModifiedBy>Morten Eriksen</cp:lastModifiedBy>
  <cp:revision>4</cp:revision>
  <dcterms:created xsi:type="dcterms:W3CDTF">2023-03-07T12:03:00Z</dcterms:created>
  <dcterms:modified xsi:type="dcterms:W3CDTF">2023-03-07T12:40:00Z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0x010100BBBEF8ECDE465C4EB8C008BE5B11D214</vt:lpwstr>
  </property>
</Properties>
</file>