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9A61" w14:textId="4BBC0523"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FF0000"/>
          <w:sz w:val="21"/>
          <w:szCs w:val="21"/>
          <w:u w:val="single"/>
          <w:bdr w:val="none" w:sz="0" w:space="0" w:color="auto" w:frame="1"/>
        </w:rPr>
        <w:t>IUL Haters</w:t>
      </w:r>
      <w:r>
        <w:rPr>
          <w:rStyle w:val="Strong"/>
          <w:rFonts w:ascii="inherit" w:hAnsi="inherit" w:cs="Arial"/>
          <w:color w:val="777777"/>
          <w:sz w:val="21"/>
          <w:szCs w:val="21"/>
          <w:bdr w:val="none" w:sz="0" w:space="0" w:color="auto" w:frame="1"/>
        </w:rPr>
        <w:t>–</w:t>
      </w:r>
      <w:r>
        <w:rPr>
          <w:rFonts w:ascii="Arial" w:hAnsi="Arial" w:cs="Arial"/>
          <w:color w:val="777777"/>
          <w:sz w:val="21"/>
          <w:szCs w:val="21"/>
        </w:rPr>
        <w:t>there are some in the industry who truly despise IUL. Most of the advisors I run into who don’t like IUL don’t really understand the product or can’t sell it.</w:t>
      </w:r>
    </w:p>
    <w:p w14:paraId="0AF41C8F"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670868A2" w14:textId="6D8100B4"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000000"/>
          <w:sz w:val="21"/>
          <w:szCs w:val="21"/>
          <w:u w:val="single"/>
          <w:bdr w:val="none" w:sz="0" w:space="0" w:color="auto" w:frame="1"/>
        </w:rPr>
        <w:t>Hater talking points</w:t>
      </w:r>
      <w:r>
        <w:rPr>
          <w:rFonts w:ascii="Arial" w:hAnsi="Arial" w:cs="Arial"/>
          <w:color w:val="777777"/>
          <w:sz w:val="21"/>
          <w:szCs w:val="21"/>
        </w:rPr>
        <w:t>–the returns in an IUL won’t be any good because 1) the product has a cap on growth and 2) the returns pegged to the S&amp;P 500 do not include dividends (meaning returns won’t be very good).</w:t>
      </w:r>
    </w:p>
    <w:p w14:paraId="0904F001"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48A2F02F" w14:textId="146D0726"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These talking points are a </w:t>
      </w:r>
      <w:r>
        <w:rPr>
          <w:rFonts w:ascii="Arial" w:hAnsi="Arial" w:cs="Arial"/>
          <w:color w:val="FF0000"/>
          <w:sz w:val="21"/>
          <w:szCs w:val="21"/>
          <w:u w:val="single"/>
          <w:bdr w:val="none" w:sz="0" w:space="0" w:color="auto" w:frame="1"/>
        </w:rPr>
        <w:t>wrong</w:t>
      </w:r>
      <w:r>
        <w:rPr>
          <w:rFonts w:ascii="Arial" w:hAnsi="Arial" w:cs="Arial"/>
          <w:color w:val="777777"/>
          <w:sz w:val="21"/>
          <w:szCs w:val="21"/>
        </w:rPr>
        <w:t>. Let’s look at what the </w:t>
      </w:r>
      <w:r>
        <w:rPr>
          <w:rFonts w:ascii="Arial" w:hAnsi="Arial" w:cs="Arial"/>
          <w:color w:val="000000"/>
          <w:sz w:val="21"/>
          <w:szCs w:val="21"/>
          <w:u w:val="single"/>
          <w:bdr w:val="none" w:sz="0" w:space="0" w:color="auto" w:frame="1"/>
        </w:rPr>
        <w:t>CAGR</w:t>
      </w:r>
      <w:r>
        <w:rPr>
          <w:rFonts w:ascii="Arial" w:hAnsi="Arial" w:cs="Arial"/>
          <w:color w:val="777777"/>
          <w:sz w:val="21"/>
          <w:szCs w:val="21"/>
        </w:rPr>
        <w:t> (compound annual growth rate) on the cash inside an IUL over the </w:t>
      </w:r>
      <w:r>
        <w:rPr>
          <w:rStyle w:val="Strong"/>
          <w:rFonts w:ascii="inherit" w:hAnsi="inherit" w:cs="Arial"/>
          <w:color w:val="000000"/>
          <w:sz w:val="21"/>
          <w:szCs w:val="21"/>
          <w:u w:val="single"/>
          <w:bdr w:val="none" w:sz="0" w:space="0" w:color="auto" w:frame="1"/>
        </w:rPr>
        <w:t>last 10 years</w:t>
      </w:r>
      <w:r>
        <w:rPr>
          <w:rFonts w:ascii="Arial" w:hAnsi="Arial" w:cs="Arial"/>
          <w:color w:val="777777"/>
          <w:sz w:val="21"/>
          <w:szCs w:val="21"/>
        </w:rPr>
        <w:t> would have returned and compare that to the S&amp;P 500 with dividends, a 60/40 mix of stocks and bonds, and AGG.</w:t>
      </w:r>
    </w:p>
    <w:p w14:paraId="35B7F6BA"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2DE5130B" w14:textId="77777777" w:rsidR="00A03ADE" w:rsidRDefault="00A03ADE" w:rsidP="00A03ADE">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noProof/>
          <w:color w:val="777777"/>
          <w:sz w:val="21"/>
          <w:szCs w:val="21"/>
        </w:rPr>
        <w:drawing>
          <wp:inline distT="0" distB="0" distL="0" distR="0" wp14:anchorId="35B53C23" wp14:editId="04D0E1DC">
            <wp:extent cx="4457700" cy="1552575"/>
            <wp:effectExtent l="0" t="0" r="0" b="9525"/>
            <wp:docPr id="3" name="Picture 3" descr="http://strategicmp.net/wp-content/uploads/2019/02/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tegicmp.net/wp-content/uploads/2019/02/newslet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552575"/>
                    </a:xfrm>
                    <a:prstGeom prst="rect">
                      <a:avLst/>
                    </a:prstGeom>
                    <a:noFill/>
                    <a:ln>
                      <a:noFill/>
                    </a:ln>
                  </pic:spPr>
                </pic:pic>
              </a:graphicData>
            </a:graphic>
          </wp:inline>
        </w:drawing>
      </w:r>
    </w:p>
    <w:p w14:paraId="481849EA"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Many advisors use AGG as a place for safe money. It’s been true that using AGG has been fairly safe, but when you consider that an IUL has no downside risk and yields that rival a 60/40 mix, you can see why I like IUL as a conservative asset class. Also keep in mind that the IUL numbers are “</w:t>
      </w:r>
      <w:r>
        <w:rPr>
          <w:rStyle w:val="Strong"/>
          <w:rFonts w:ascii="inherit" w:hAnsi="inherit" w:cs="Arial"/>
          <w:color w:val="777777"/>
          <w:sz w:val="21"/>
          <w:szCs w:val="21"/>
          <w:u w:val="single"/>
          <w:bdr w:val="none" w:sz="0" w:space="0" w:color="auto" w:frame="1"/>
        </w:rPr>
        <w:t>net</w:t>
      </w:r>
      <w:r>
        <w:rPr>
          <w:rFonts w:ascii="Arial" w:hAnsi="Arial" w:cs="Arial"/>
          <w:color w:val="777777"/>
          <w:sz w:val="21"/>
          <w:szCs w:val="21"/>
        </w:rPr>
        <w:t>” and the other numbers quoted are a gross return (no money management fees and no taxes).</w:t>
      </w:r>
    </w:p>
    <w:p w14:paraId="66D86355"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The more interesting numbers are from 1998-2008 (what people call the </w:t>
      </w:r>
      <w:r>
        <w:rPr>
          <w:rFonts w:ascii="Arial" w:hAnsi="Arial" w:cs="Arial"/>
          <w:color w:val="FF0000"/>
          <w:sz w:val="21"/>
          <w:szCs w:val="21"/>
          <w:u w:val="single"/>
          <w:bdr w:val="none" w:sz="0" w:space="0" w:color="auto" w:frame="1"/>
        </w:rPr>
        <w:t>Lost Decade</w:t>
      </w:r>
      <w:r>
        <w:rPr>
          <w:rFonts w:ascii="Arial" w:hAnsi="Arial" w:cs="Arial"/>
          <w:color w:val="777777"/>
          <w:sz w:val="21"/>
          <w:szCs w:val="21"/>
        </w:rPr>
        <w:t xml:space="preserve">). During the </w:t>
      </w:r>
      <w:proofErr w:type="spellStart"/>
      <w:r>
        <w:rPr>
          <w:rFonts w:ascii="Arial" w:hAnsi="Arial" w:cs="Arial"/>
          <w:color w:val="777777"/>
          <w:sz w:val="21"/>
          <w:szCs w:val="21"/>
        </w:rPr>
        <w:t>Lost</w:t>
      </w:r>
      <w:proofErr w:type="spellEnd"/>
      <w:r>
        <w:rPr>
          <w:rFonts w:ascii="Arial" w:hAnsi="Arial" w:cs="Arial"/>
          <w:color w:val="777777"/>
          <w:sz w:val="21"/>
          <w:szCs w:val="21"/>
        </w:rPr>
        <w:t xml:space="preserve"> Decade the S&amp;P 500 with dividends had a </w:t>
      </w:r>
      <w:r>
        <w:rPr>
          <w:rStyle w:val="Strong"/>
          <w:rFonts w:ascii="inherit" w:hAnsi="inherit" w:cs="Arial"/>
          <w:color w:val="000000"/>
          <w:sz w:val="21"/>
          <w:szCs w:val="21"/>
          <w:u w:val="single"/>
          <w:bdr w:val="none" w:sz="0" w:space="0" w:color="auto" w:frame="1"/>
        </w:rPr>
        <w:t>CAGR of 0.93%</w:t>
      </w:r>
      <w:r>
        <w:rPr>
          <w:rFonts w:ascii="Arial" w:hAnsi="Arial" w:cs="Arial"/>
          <w:color w:val="777777"/>
          <w:sz w:val="21"/>
          <w:szCs w:val="21"/>
        </w:rPr>
        <w:t>. How would the cash in an IUL have done?</w:t>
      </w:r>
    </w:p>
    <w:p w14:paraId="16679F1B" w14:textId="77777777" w:rsidR="00A03ADE" w:rsidRDefault="00A03ADE" w:rsidP="00A03ADE">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noProof/>
          <w:color w:val="777777"/>
          <w:sz w:val="21"/>
          <w:szCs w:val="21"/>
        </w:rPr>
        <w:drawing>
          <wp:inline distT="0" distB="0" distL="0" distR="0" wp14:anchorId="5C7571E9" wp14:editId="209FF24E">
            <wp:extent cx="4419600" cy="1295400"/>
            <wp:effectExtent l="0" t="0" r="0" b="0"/>
            <wp:docPr id="2" name="Picture 2" descr="http://strategicmp.net/wp-content/uploads/2019/02/news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tegicmp.net/wp-content/uploads/2019/02/newslett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295400"/>
                    </a:xfrm>
                    <a:prstGeom prst="rect">
                      <a:avLst/>
                    </a:prstGeom>
                    <a:noFill/>
                    <a:ln>
                      <a:noFill/>
                    </a:ln>
                  </pic:spPr>
                </pic:pic>
              </a:graphicData>
            </a:graphic>
          </wp:inline>
        </w:drawing>
      </w:r>
    </w:p>
    <w:p w14:paraId="204F7F84" w14:textId="071DDE2B" w:rsidR="00A03ADE" w:rsidRDefault="00A03ADE" w:rsidP="00A03ADE">
      <w:pPr>
        <w:pStyle w:val="NormalWeb"/>
        <w:shd w:val="clear" w:color="auto" w:fill="FFFFFF"/>
        <w:spacing w:before="0" w:beforeAutospacing="0" w:after="0" w:afterAutospacing="0"/>
        <w:jc w:val="center"/>
        <w:textAlignment w:val="baseline"/>
        <w:rPr>
          <w:rStyle w:val="Emphasis"/>
          <w:rFonts w:ascii="inherit" w:hAnsi="inherit" w:cs="Arial"/>
          <w:color w:val="777777"/>
          <w:sz w:val="21"/>
          <w:szCs w:val="21"/>
          <w:bdr w:val="none" w:sz="0" w:space="0" w:color="auto" w:frame="1"/>
        </w:rPr>
      </w:pPr>
      <w:r>
        <w:rPr>
          <w:rStyle w:val="Emphasis"/>
          <w:rFonts w:ascii="inherit" w:hAnsi="inherit" w:cs="Arial"/>
          <w:color w:val="777777"/>
          <w:sz w:val="21"/>
          <w:szCs w:val="21"/>
          <w:bdr w:val="none" w:sz="0" w:space="0" w:color="auto" w:frame="1"/>
        </w:rPr>
        <w:t>(There are no numbers for a 60/40 mix or AGG because bond indexes weren’t available until 2003)</w:t>
      </w:r>
      <w:r>
        <w:rPr>
          <w:rFonts w:ascii="inherit" w:hAnsi="inherit" w:cs="Arial"/>
          <w:i/>
          <w:iCs/>
          <w:color w:val="777777"/>
          <w:sz w:val="21"/>
          <w:szCs w:val="21"/>
          <w:bdr w:val="none" w:sz="0" w:space="0" w:color="auto" w:frame="1"/>
        </w:rPr>
        <w:br/>
      </w:r>
      <w:r>
        <w:rPr>
          <w:rStyle w:val="Emphasis"/>
          <w:rFonts w:ascii="inherit" w:hAnsi="inherit" w:cs="Arial"/>
          <w:color w:val="777777"/>
          <w:sz w:val="21"/>
          <w:szCs w:val="21"/>
          <w:bdr w:val="none" w:sz="0" w:space="0" w:color="auto" w:frame="1"/>
        </w:rPr>
        <w:t>These numbers were derived from the </w:t>
      </w:r>
      <w:hyperlink r:id="rId9" w:history="1">
        <w:proofErr w:type="spellStart"/>
        <w:r>
          <w:rPr>
            <w:rStyle w:val="Hyperlink"/>
            <w:rFonts w:ascii="inherit" w:hAnsi="inherit" w:cs="Arial"/>
            <w:i/>
            <w:iCs/>
            <w:color w:val="0F75BC"/>
            <w:sz w:val="21"/>
            <w:szCs w:val="21"/>
            <w:bdr w:val="none" w:sz="0" w:space="0" w:color="auto" w:frame="1"/>
          </w:rPr>
          <w:t>OnPointe</w:t>
        </w:r>
        <w:proofErr w:type="spellEnd"/>
        <w:r>
          <w:rPr>
            <w:rStyle w:val="Hyperlink"/>
            <w:rFonts w:ascii="inherit" w:hAnsi="inherit" w:cs="Arial"/>
            <w:i/>
            <w:iCs/>
            <w:color w:val="0F75BC"/>
            <w:sz w:val="21"/>
            <w:szCs w:val="21"/>
            <w:bdr w:val="none" w:sz="0" w:space="0" w:color="auto" w:frame="1"/>
          </w:rPr>
          <w:t xml:space="preserve"> Risk Analyzer</w:t>
        </w:r>
      </w:hyperlink>
      <w:r>
        <w:rPr>
          <w:rStyle w:val="Emphasis"/>
          <w:rFonts w:ascii="inherit" w:hAnsi="inherit" w:cs="Arial"/>
          <w:color w:val="777777"/>
          <w:sz w:val="21"/>
          <w:szCs w:val="21"/>
          <w:bdr w:val="none" w:sz="0" w:space="0" w:color="auto" w:frame="1"/>
        </w:rPr>
        <w:t> program.</w:t>
      </w:r>
    </w:p>
    <w:p w14:paraId="1FE0D1EB" w14:textId="77777777" w:rsidR="00A03ADE" w:rsidRDefault="00A03ADE" w:rsidP="00A03ADE">
      <w:pPr>
        <w:pStyle w:val="NormalWeb"/>
        <w:shd w:val="clear" w:color="auto" w:fill="FFFFFF"/>
        <w:spacing w:before="0" w:beforeAutospacing="0" w:after="0" w:afterAutospacing="0"/>
        <w:jc w:val="center"/>
        <w:textAlignment w:val="baseline"/>
        <w:rPr>
          <w:rFonts w:ascii="Arial" w:hAnsi="Arial" w:cs="Arial"/>
          <w:color w:val="777777"/>
          <w:sz w:val="21"/>
          <w:szCs w:val="21"/>
        </w:rPr>
      </w:pPr>
    </w:p>
    <w:p w14:paraId="24DBA0FA"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bdr w:val="none" w:sz="0" w:space="0" w:color="auto" w:frame="1"/>
        </w:rPr>
        <w:t>Why are the Lost Decade numbers more interesting</w:t>
      </w:r>
      <w:r>
        <w:rPr>
          <w:rFonts w:ascii="Arial" w:hAnsi="Arial" w:cs="Arial"/>
          <w:color w:val="777777"/>
          <w:sz w:val="21"/>
          <w:szCs w:val="21"/>
        </w:rPr>
        <w:t>? Because most advisors I’ve talked with think the next 10 years are much more likely to look like the Lost Decade more so than the last ten years. If so, using IUL as an asset class will be very beneficial to a client’s overall portfolio.</w:t>
      </w:r>
    </w:p>
    <w:p w14:paraId="6FB0DCC3"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2219174D"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05820D96"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36F56571"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0DCB730E" w14:textId="77777777" w:rsidR="00A03ADE" w:rsidRDefault="00A03ADE" w:rsidP="00A03ADE">
      <w:pPr>
        <w:pStyle w:val="NormalWeb"/>
        <w:shd w:val="clear" w:color="auto" w:fill="FFFFFF"/>
        <w:spacing w:before="0" w:beforeAutospacing="0" w:after="0" w:afterAutospacing="0"/>
        <w:textAlignment w:val="baseline"/>
        <w:rPr>
          <w:rStyle w:val="Strong"/>
          <w:rFonts w:ascii="inherit" w:hAnsi="inherit" w:cs="Arial"/>
          <w:color w:val="000000"/>
          <w:sz w:val="21"/>
          <w:szCs w:val="21"/>
          <w:u w:val="single"/>
          <w:bdr w:val="none" w:sz="0" w:space="0" w:color="auto" w:frame="1"/>
        </w:rPr>
      </w:pPr>
    </w:p>
    <w:p w14:paraId="18BB6F3D" w14:textId="51099E5A"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000000"/>
          <w:sz w:val="21"/>
          <w:szCs w:val="21"/>
          <w:u w:val="single"/>
          <w:bdr w:val="none" w:sz="0" w:space="0" w:color="auto" w:frame="1"/>
        </w:rPr>
        <w:lastRenderedPageBreak/>
        <w:t>Why don’t more advisors use IUL as an asset class</w:t>
      </w:r>
      <w:r>
        <w:rPr>
          <w:rFonts w:ascii="Arial" w:hAnsi="Arial" w:cs="Arial"/>
          <w:color w:val="777777"/>
          <w:sz w:val="21"/>
          <w:szCs w:val="21"/>
        </w:rPr>
        <w:t>?</w:t>
      </w:r>
    </w:p>
    <w:p w14:paraId="790CBA5C"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bookmarkStart w:id="0" w:name="_GoBack"/>
      <w:bookmarkEnd w:id="0"/>
    </w:p>
    <w:p w14:paraId="69A73785" w14:textId="1D781E86"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000000"/>
          <w:sz w:val="21"/>
          <w:szCs w:val="21"/>
          <w:u w:val="single"/>
          <w:bdr w:val="none" w:sz="0" w:space="0" w:color="auto" w:frame="1"/>
        </w:rPr>
        <w:t>They just don’t know anything about IUL</w:t>
      </w:r>
      <w:r>
        <w:rPr>
          <w:rFonts w:ascii="Arial" w:hAnsi="Arial" w:cs="Arial"/>
          <w:color w:val="777777"/>
          <w:sz w:val="21"/>
          <w:szCs w:val="21"/>
        </w:rPr>
        <w:t>. No offense, but usually </w:t>
      </w:r>
      <w:r>
        <w:rPr>
          <w:rFonts w:ascii="Arial" w:hAnsi="Arial" w:cs="Arial"/>
          <w:color w:val="000000"/>
          <w:sz w:val="21"/>
          <w:szCs w:val="21"/>
          <w:u w:val="single"/>
          <w:bdr w:val="none" w:sz="0" w:space="0" w:color="auto" w:frame="1"/>
        </w:rPr>
        <w:t>Series 7 licensed advisors</w:t>
      </w:r>
      <w:r>
        <w:rPr>
          <w:rFonts w:ascii="Arial" w:hAnsi="Arial" w:cs="Arial"/>
          <w:color w:val="777777"/>
          <w:sz w:val="21"/>
          <w:szCs w:val="21"/>
        </w:rPr>
        <w:t> who are with bigger Broker Dealers (BDs) have never really learned anything about IUL policies. BDs, as a general statement, don’t want their advisors using IUL (doesn’t make the B/D a trail fee). </w:t>
      </w:r>
      <w:r>
        <w:rPr>
          <w:rFonts w:ascii="Arial" w:hAnsi="Arial" w:cs="Arial"/>
          <w:color w:val="000000"/>
          <w:sz w:val="21"/>
          <w:szCs w:val="21"/>
          <w:u w:val="single"/>
          <w:bdr w:val="none" w:sz="0" w:space="0" w:color="auto" w:frame="1"/>
        </w:rPr>
        <w:t>Fee-only advisors</w:t>
      </w:r>
      <w:r>
        <w:rPr>
          <w:rFonts w:ascii="Arial" w:hAnsi="Arial" w:cs="Arial"/>
          <w:color w:val="777777"/>
          <w:sz w:val="21"/>
          <w:szCs w:val="21"/>
        </w:rPr>
        <w:t> also don’t seem interested in learning about IULs because they pay a commission. </w:t>
      </w:r>
      <w:r>
        <w:rPr>
          <w:rFonts w:ascii="Arial" w:hAnsi="Arial" w:cs="Arial"/>
          <w:color w:val="777777"/>
          <w:sz w:val="21"/>
          <w:szCs w:val="21"/>
          <w:u w:val="single"/>
          <w:bdr w:val="none" w:sz="0" w:space="0" w:color="auto" w:frame="1"/>
        </w:rPr>
        <w:t>RIAs/IARs</w:t>
      </w:r>
      <w:r>
        <w:rPr>
          <w:rFonts w:ascii="Arial" w:hAnsi="Arial" w:cs="Arial"/>
          <w:color w:val="777777"/>
          <w:sz w:val="21"/>
          <w:szCs w:val="21"/>
        </w:rPr>
        <w:t> are more likely to use IUL but there are still far too many who know too little or nothing at all about IUL.</w:t>
      </w:r>
    </w:p>
    <w:p w14:paraId="2437AB16"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4F09EAA4" w14:textId="51F83D8A"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FF0000"/>
          <w:sz w:val="21"/>
          <w:szCs w:val="21"/>
          <w:u w:val="single"/>
          <w:bdr w:val="none" w:sz="0" w:space="0" w:color="auto" w:frame="1"/>
        </w:rPr>
        <w:t>Contractually forbidden</w:t>
      </w:r>
      <w:r>
        <w:rPr>
          <w:rFonts w:ascii="Arial" w:hAnsi="Arial" w:cs="Arial"/>
          <w:color w:val="777777"/>
          <w:sz w:val="21"/>
          <w:szCs w:val="21"/>
        </w:rPr>
        <w:t xml:space="preserve">! Captive agents who work at companies like Northwestern Mutual, New York Life, Guardian, etc. can’t sell IUL policies. In </w:t>
      </w:r>
      <w:proofErr w:type="gramStart"/>
      <w:r>
        <w:rPr>
          <w:rFonts w:ascii="Arial" w:hAnsi="Arial" w:cs="Arial"/>
          <w:color w:val="777777"/>
          <w:sz w:val="21"/>
          <w:szCs w:val="21"/>
        </w:rPr>
        <w:t>fact</w:t>
      </w:r>
      <w:proofErr w:type="gramEnd"/>
      <w:r>
        <w:rPr>
          <w:rFonts w:ascii="Arial" w:hAnsi="Arial" w:cs="Arial"/>
          <w:color w:val="777777"/>
          <w:sz w:val="21"/>
          <w:szCs w:val="21"/>
        </w:rPr>
        <w:t xml:space="preserve"> the whole life crowd has done everything in their power to discredit the use of IUL. Virtually all captive agents are ignorant when it comes to IUL.</w:t>
      </w:r>
    </w:p>
    <w:p w14:paraId="3B5DBBB0"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4A7B830C"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000000"/>
          <w:sz w:val="21"/>
          <w:szCs w:val="21"/>
          <w:u w:val="single"/>
          <w:bdr w:val="none" w:sz="0" w:space="0" w:color="auto" w:frame="1"/>
        </w:rPr>
        <w:t>Why am I such a fan of IUL</w:t>
      </w:r>
      <w:r>
        <w:rPr>
          <w:rFonts w:ascii="Arial" w:hAnsi="Arial" w:cs="Arial"/>
          <w:color w:val="777777"/>
          <w:sz w:val="21"/>
          <w:szCs w:val="21"/>
        </w:rPr>
        <w:t>?</w:t>
      </w:r>
    </w:p>
    <w:p w14:paraId="7F5F4BA8" w14:textId="15F61FA3"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bdr w:val="none" w:sz="0" w:space="0" w:color="auto" w:frame="1"/>
        </w:rPr>
        <w:t>It’s a simple matter of mathematics</w:t>
      </w:r>
      <w:r>
        <w:rPr>
          <w:rFonts w:ascii="Arial" w:hAnsi="Arial" w:cs="Arial"/>
          <w:color w:val="777777"/>
          <w:sz w:val="21"/>
          <w:szCs w:val="21"/>
        </w:rPr>
        <w:t xml:space="preserve">-I’m agnostic to product type or AUM platform style. I just look at the numbers and decide for myself if an asset should be used as part of a financial or retirement plan. The math, coupled with reasonable assumptions, has told me for years that an IUL can be a vital tool for a </w:t>
      </w:r>
      <w:proofErr w:type="gramStart"/>
      <w:r>
        <w:rPr>
          <w:rFonts w:ascii="Arial" w:hAnsi="Arial" w:cs="Arial"/>
          <w:color w:val="777777"/>
          <w:sz w:val="21"/>
          <w:szCs w:val="21"/>
        </w:rPr>
        <w:t>many clients</w:t>
      </w:r>
      <w:proofErr w:type="gramEnd"/>
      <w:r>
        <w:rPr>
          <w:rFonts w:ascii="Arial" w:hAnsi="Arial" w:cs="Arial"/>
          <w:color w:val="777777"/>
          <w:sz w:val="21"/>
          <w:szCs w:val="21"/>
        </w:rPr>
        <w:t>.</w:t>
      </w:r>
    </w:p>
    <w:p w14:paraId="1E287BBF"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05E6663E"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777777"/>
          <w:sz w:val="21"/>
          <w:szCs w:val="21"/>
          <w:u w:val="single"/>
          <w:bdr w:val="none" w:sz="0" w:space="0" w:color="auto" w:frame="1"/>
        </w:rPr>
        <w:t>What will happen in the stock market the next 10, 20, 30 years</w:t>
      </w:r>
      <w:r>
        <w:rPr>
          <w:rFonts w:ascii="Arial" w:hAnsi="Arial" w:cs="Arial"/>
          <w:color w:val="777777"/>
          <w:sz w:val="21"/>
          <w:szCs w:val="21"/>
        </w:rPr>
        <w:t>? </w:t>
      </w:r>
      <w:r>
        <w:rPr>
          <w:rFonts w:ascii="Arial" w:hAnsi="Arial" w:cs="Arial"/>
          <w:color w:val="FF0000"/>
          <w:sz w:val="21"/>
          <w:szCs w:val="21"/>
          <w:u w:val="single"/>
          <w:bdr w:val="none" w:sz="0" w:space="0" w:color="auto" w:frame="1"/>
        </w:rPr>
        <w:t>We don’t know</w:t>
      </w:r>
      <w:r>
        <w:rPr>
          <w:rFonts w:ascii="Arial" w:hAnsi="Arial" w:cs="Arial"/>
          <w:color w:val="777777"/>
          <w:sz w:val="21"/>
          <w:szCs w:val="21"/>
        </w:rPr>
        <w:t>!</w:t>
      </w:r>
    </w:p>
    <w:p w14:paraId="72ED15E3" w14:textId="12200576"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What we do know is that mathematically if you grow wealth in a product that has </w:t>
      </w:r>
      <w:r>
        <w:rPr>
          <w:rFonts w:ascii="Arial" w:hAnsi="Arial" w:cs="Arial"/>
          <w:color w:val="777777"/>
          <w:sz w:val="21"/>
          <w:szCs w:val="21"/>
          <w:u w:val="single"/>
          <w:bdr w:val="none" w:sz="0" w:space="0" w:color="auto" w:frame="1"/>
        </w:rPr>
        <w:t>no downside risk</w:t>
      </w:r>
      <w:r>
        <w:rPr>
          <w:rFonts w:ascii="Arial" w:hAnsi="Arial" w:cs="Arial"/>
          <w:color w:val="777777"/>
          <w:sz w:val="21"/>
          <w:szCs w:val="21"/>
        </w:rPr>
        <w:t> and pegs its </w:t>
      </w:r>
      <w:r>
        <w:rPr>
          <w:rFonts w:ascii="Arial" w:hAnsi="Arial" w:cs="Arial"/>
          <w:color w:val="777777"/>
          <w:sz w:val="21"/>
          <w:szCs w:val="21"/>
          <w:u w:val="single"/>
          <w:bdr w:val="none" w:sz="0" w:space="0" w:color="auto" w:frame="1"/>
        </w:rPr>
        <w:t>returns to the S&amp;P 500</w:t>
      </w:r>
      <w:r>
        <w:rPr>
          <w:rFonts w:ascii="Arial" w:hAnsi="Arial" w:cs="Arial"/>
          <w:color w:val="777777"/>
          <w:sz w:val="21"/>
          <w:szCs w:val="21"/>
        </w:rPr>
        <w:t> (without dividend) with a cap of 10% or more, the client’s money will be protected and will most certainly generate an after-tax return that far exceeds CDs and money market accounts (and mathematically should generate returns that are similar to a 60/40 investment mix but with </w:t>
      </w:r>
      <w:r>
        <w:rPr>
          <w:rFonts w:ascii="Arial" w:hAnsi="Arial" w:cs="Arial"/>
          <w:color w:val="777777"/>
          <w:sz w:val="21"/>
          <w:szCs w:val="21"/>
          <w:u w:val="single"/>
          <w:bdr w:val="none" w:sz="0" w:space="0" w:color="auto" w:frame="1"/>
        </w:rPr>
        <w:t>NO risk of loss</w:t>
      </w:r>
      <w:r>
        <w:rPr>
          <w:rFonts w:ascii="Arial" w:hAnsi="Arial" w:cs="Arial"/>
          <w:color w:val="777777"/>
          <w:sz w:val="21"/>
          <w:szCs w:val="21"/>
        </w:rPr>
        <w:t> from market downturns).</w:t>
      </w:r>
    </w:p>
    <w:p w14:paraId="717E46BF"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p>
    <w:p w14:paraId="0C6D9C9B" w14:textId="77777777" w:rsidR="00A03ADE" w:rsidRDefault="00A03ADE" w:rsidP="00A03ADE">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000000"/>
          <w:sz w:val="21"/>
          <w:szCs w:val="21"/>
          <w:u w:val="single"/>
          <w:bdr w:val="none" w:sz="0" w:space="0" w:color="auto" w:frame="1"/>
        </w:rPr>
        <w:t>Should ALL advisors research the pros and cons of IUL</w:t>
      </w:r>
      <w:r>
        <w:rPr>
          <w:rFonts w:ascii="Arial" w:hAnsi="Arial" w:cs="Arial"/>
          <w:color w:val="777777"/>
          <w:sz w:val="21"/>
          <w:szCs w:val="21"/>
        </w:rPr>
        <w:t>?</w:t>
      </w:r>
    </w:p>
    <w:p w14:paraId="641D9297" w14:textId="77777777" w:rsidR="00A03ADE" w:rsidRDefault="00A03ADE" w:rsidP="00A03ADE">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Absolutely (and those with a fiduciary duty owe it to their clients to learn about IUL).</w:t>
      </w:r>
    </w:p>
    <w:p w14:paraId="5D8D921B" w14:textId="77777777" w:rsidR="00C75FD8" w:rsidRPr="00BD3E2E" w:rsidRDefault="00C75FD8" w:rsidP="00BD3E2E"/>
    <w:sectPr w:rsidR="00C75FD8" w:rsidRPr="00BD3E2E" w:rsidSect="00844FCF">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6DE6" w14:textId="77777777" w:rsidR="00D36B5E" w:rsidRDefault="00D36B5E" w:rsidP="00844FCF">
      <w:pPr>
        <w:spacing w:after="0" w:line="240" w:lineRule="auto"/>
      </w:pPr>
      <w:r>
        <w:separator/>
      </w:r>
    </w:p>
  </w:endnote>
  <w:endnote w:type="continuationSeparator" w:id="0">
    <w:p w14:paraId="4DCCC6A8" w14:textId="77777777" w:rsidR="00D36B5E" w:rsidRDefault="00D36B5E" w:rsidP="0084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324C" w14:textId="77777777" w:rsidR="00844FCF" w:rsidRPr="00844FCF" w:rsidRDefault="00844FCF" w:rsidP="00844FCF">
    <w:pPr>
      <w:pStyle w:val="Footer"/>
      <w:jc w:val="center"/>
      <w:rPr>
        <w:sz w:val="18"/>
      </w:rPr>
    </w:pPr>
    <w:r w:rsidRPr="00844FCF">
      <w:rPr>
        <w:sz w:val="18"/>
      </w:rPr>
      <w:t>2900 Bristol Street, Suite B-300, Costa Mesa, CA 92626</w:t>
    </w:r>
  </w:p>
  <w:p w14:paraId="36E068A6" w14:textId="77777777" w:rsidR="00844FCF" w:rsidRPr="00844FCF" w:rsidRDefault="00844FCF" w:rsidP="00844FCF">
    <w:pPr>
      <w:pStyle w:val="Footer"/>
      <w:jc w:val="center"/>
      <w:rPr>
        <w:sz w:val="18"/>
      </w:rPr>
    </w:pPr>
    <w:r w:rsidRPr="00844FCF">
      <w:rPr>
        <w:sz w:val="18"/>
      </w:rPr>
      <w:t>www.BGAinsurance.com</w:t>
    </w:r>
  </w:p>
  <w:p w14:paraId="5A1B7661" w14:textId="77777777" w:rsidR="00844FCF" w:rsidRDefault="0084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5B13" w14:textId="77777777" w:rsidR="00D36B5E" w:rsidRDefault="00D36B5E" w:rsidP="00844FCF">
      <w:pPr>
        <w:spacing w:after="0" w:line="240" w:lineRule="auto"/>
      </w:pPr>
      <w:r>
        <w:separator/>
      </w:r>
    </w:p>
  </w:footnote>
  <w:footnote w:type="continuationSeparator" w:id="0">
    <w:p w14:paraId="72BA6BD5" w14:textId="77777777" w:rsidR="00D36B5E" w:rsidRDefault="00D36B5E" w:rsidP="0084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3E07" w14:textId="77777777" w:rsidR="00844FCF" w:rsidRDefault="00844FCF">
    <w:pPr>
      <w:pStyle w:val="Header"/>
    </w:pPr>
    <w:r>
      <w:rPr>
        <w:rFonts w:ascii="Bahnschrift" w:hAnsi="Bahnschrift"/>
        <w:b/>
        <w:noProof/>
        <w:sz w:val="28"/>
      </w:rPr>
      <w:drawing>
        <wp:inline distT="0" distB="0" distL="0" distR="0" wp14:anchorId="11157E7E" wp14:editId="00A25CFA">
          <wp:extent cx="1289538"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 Logo with Text Horizontal 2.jpg"/>
                  <pic:cNvPicPr/>
                </pic:nvPicPr>
                <pic:blipFill>
                  <a:blip r:embed="rId1">
                    <a:extLst>
                      <a:ext uri="{28A0092B-C50C-407E-A947-70E740481C1C}">
                        <a14:useLocalDpi xmlns:a14="http://schemas.microsoft.com/office/drawing/2010/main" val="0"/>
                      </a:ext>
                    </a:extLst>
                  </a:blip>
                  <a:stretch>
                    <a:fillRect/>
                  </a:stretch>
                </pic:blipFill>
                <pic:spPr>
                  <a:xfrm>
                    <a:off x="0" y="0"/>
                    <a:ext cx="1323990" cy="4302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C"/>
    <w:rsid w:val="001667D2"/>
    <w:rsid w:val="001839F2"/>
    <w:rsid w:val="003A1315"/>
    <w:rsid w:val="004349CE"/>
    <w:rsid w:val="00773A12"/>
    <w:rsid w:val="00780B9C"/>
    <w:rsid w:val="007B43CB"/>
    <w:rsid w:val="00844FCF"/>
    <w:rsid w:val="00856B96"/>
    <w:rsid w:val="00951E3A"/>
    <w:rsid w:val="00A03ADE"/>
    <w:rsid w:val="00A115B1"/>
    <w:rsid w:val="00BD3E2E"/>
    <w:rsid w:val="00C75FD8"/>
    <w:rsid w:val="00C83CCC"/>
    <w:rsid w:val="00CB3A1E"/>
    <w:rsid w:val="00D36B5E"/>
    <w:rsid w:val="00DC6B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59C"/>
  <w15:chartTrackingRefBased/>
  <w15:docId w15:val="{99F4F76D-90F3-4940-B841-3DA4929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CF"/>
  </w:style>
  <w:style w:type="paragraph" w:styleId="Footer">
    <w:name w:val="footer"/>
    <w:basedOn w:val="Normal"/>
    <w:link w:val="FooterChar"/>
    <w:uiPriority w:val="99"/>
    <w:unhideWhenUsed/>
    <w:rsid w:val="0084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CF"/>
  </w:style>
  <w:style w:type="paragraph" w:styleId="NormalWeb">
    <w:name w:val="Normal (Web)"/>
    <w:basedOn w:val="Normal"/>
    <w:uiPriority w:val="99"/>
    <w:semiHidden/>
    <w:unhideWhenUsed/>
    <w:rsid w:val="00A03A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ADE"/>
    <w:rPr>
      <w:b/>
      <w:bCs/>
    </w:rPr>
  </w:style>
  <w:style w:type="character" w:styleId="Emphasis">
    <w:name w:val="Emphasis"/>
    <w:basedOn w:val="DefaultParagraphFont"/>
    <w:uiPriority w:val="20"/>
    <w:qFormat/>
    <w:rsid w:val="00A03ADE"/>
    <w:rPr>
      <w:i/>
      <w:iCs/>
    </w:rPr>
  </w:style>
  <w:style w:type="character" w:styleId="Hyperlink">
    <w:name w:val="Hyperlink"/>
    <w:basedOn w:val="DefaultParagraphFont"/>
    <w:uiPriority w:val="99"/>
    <w:semiHidden/>
    <w:unhideWhenUsed/>
    <w:rsid w:val="00A03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ick.strategicmp.net/wf/click?upn=PjghRnMRmOe-2FwzCc2HixnfGphp9udkjODzbAesZbrET54IrXaXBj-2FwPtlsolhZFW_FfaSgH4WIAblWIRGDxpDlGm71sS9ijs8QDOKjEn8WPZdtZddFxW0Q93AAR3bpLiq6-2FUzZhqdKHB8LsxbJJmkUb-2BYPgCT30ozxp0q3O5Ctx2j346OLOsLSDU-2BLBbNXS6whVm16fIuqty6NzGvfsbisId56R-2B-2B9K6gDzOiLxSaAH7gNjvqFSRyXwwY4yOiYkEqFSwK0xP4e6kEE-2BbLS33A-2BrKKaFhp8AiW3Sl0VT8sOj8-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C3C5-E427-4870-81FC-2909BE7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Zimmermann</dc:creator>
  <cp:keywords/>
  <dc:description/>
  <cp:lastModifiedBy>Shawn Bragdon</cp:lastModifiedBy>
  <cp:revision>2</cp:revision>
  <dcterms:created xsi:type="dcterms:W3CDTF">2019-03-04T18:16:00Z</dcterms:created>
  <dcterms:modified xsi:type="dcterms:W3CDTF">2019-03-04T18:16:00Z</dcterms:modified>
</cp:coreProperties>
</file>