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356" w:lineRule="exact"/>
        <w:rPr>
          <w:rFonts w:ascii="Times New Roman" w:hAnsi="Times New Roman"/>
          <w:sz w:val="24"/>
          <w:szCs w:val="24"/>
        </w:rPr>
      </w:pPr>
    </w:p>
    <w:p w:rsidR="00C35ED4" w:rsidRPr="00DF0167" w:rsidRDefault="00C35ED4" w:rsidP="00C21847">
      <w:pPr>
        <w:widowControl w:val="0"/>
        <w:autoSpaceDE w:val="0"/>
        <w:autoSpaceDN w:val="0"/>
        <w:adjustRightInd w:val="0"/>
        <w:spacing w:after="0" w:line="240" w:lineRule="auto"/>
        <w:jc w:val="center"/>
        <w:rPr>
          <w:rFonts w:ascii="Times New Roman" w:hAnsi="Times New Roman"/>
          <w:sz w:val="48"/>
          <w:szCs w:val="48"/>
        </w:rPr>
      </w:pPr>
      <w:r w:rsidRPr="00DF0167">
        <w:rPr>
          <w:rFonts w:ascii="Lucida Sans" w:hAnsi="Lucida Sans" w:cs="Lucida Sans"/>
          <w:b/>
          <w:bCs/>
          <w:color w:val="0D0D0D"/>
          <w:sz w:val="48"/>
          <w:szCs w:val="48"/>
        </w:rPr>
        <w:t>ESSENTIAL CORREDORA DE SEGUROS, S.A.</w:t>
      </w: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334" w:lineRule="exact"/>
        <w:rPr>
          <w:rFonts w:ascii="Times New Roman" w:hAnsi="Times New Roman"/>
          <w:sz w:val="48"/>
          <w:szCs w:val="48"/>
        </w:rPr>
      </w:pPr>
    </w:p>
    <w:p w:rsidR="00C35ED4" w:rsidRPr="00DF0167" w:rsidRDefault="00C35ED4" w:rsidP="00C21847">
      <w:pPr>
        <w:widowControl w:val="0"/>
        <w:autoSpaceDE w:val="0"/>
        <w:autoSpaceDN w:val="0"/>
        <w:adjustRightInd w:val="0"/>
        <w:spacing w:after="0" w:line="240" w:lineRule="auto"/>
        <w:jc w:val="center"/>
        <w:rPr>
          <w:rFonts w:ascii="Times New Roman" w:hAnsi="Times New Roman"/>
          <w:sz w:val="48"/>
          <w:szCs w:val="48"/>
        </w:rPr>
      </w:pPr>
      <w:r w:rsidRPr="00DF0167">
        <w:rPr>
          <w:rFonts w:ascii="Lucida Sans" w:hAnsi="Lucida Sans" w:cs="Lucida Sans"/>
          <w:b/>
          <w:bCs/>
          <w:color w:val="0D0D0D"/>
          <w:sz w:val="48"/>
          <w:szCs w:val="48"/>
        </w:rPr>
        <w:t>ESTADOS FINANCIEROS</w:t>
      </w:r>
    </w:p>
    <w:p w:rsidR="00C35ED4" w:rsidRPr="00DF0167" w:rsidRDefault="00C35ED4">
      <w:pPr>
        <w:widowControl w:val="0"/>
        <w:autoSpaceDE w:val="0"/>
        <w:autoSpaceDN w:val="0"/>
        <w:adjustRightInd w:val="0"/>
        <w:spacing w:after="0" w:line="9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00" w:lineRule="exact"/>
        <w:rPr>
          <w:rFonts w:ascii="Times New Roman" w:hAnsi="Times New Roman"/>
          <w:sz w:val="48"/>
          <w:szCs w:val="48"/>
        </w:rPr>
      </w:pPr>
    </w:p>
    <w:p w:rsidR="00C35ED4" w:rsidRPr="00DF0167" w:rsidRDefault="00C35ED4">
      <w:pPr>
        <w:widowControl w:val="0"/>
        <w:autoSpaceDE w:val="0"/>
        <w:autoSpaceDN w:val="0"/>
        <w:adjustRightInd w:val="0"/>
        <w:spacing w:after="0" w:line="266" w:lineRule="exact"/>
        <w:rPr>
          <w:rFonts w:ascii="Times New Roman" w:hAnsi="Times New Roman"/>
          <w:sz w:val="48"/>
          <w:szCs w:val="48"/>
        </w:rPr>
      </w:pPr>
    </w:p>
    <w:p w:rsidR="00C35ED4" w:rsidRPr="00F3211F" w:rsidRDefault="001554AD" w:rsidP="00C21847">
      <w:pPr>
        <w:widowControl w:val="0"/>
        <w:autoSpaceDE w:val="0"/>
        <w:autoSpaceDN w:val="0"/>
        <w:adjustRightInd w:val="0"/>
        <w:spacing w:after="0" w:line="240" w:lineRule="auto"/>
        <w:jc w:val="center"/>
        <w:rPr>
          <w:rFonts w:ascii="Times New Roman" w:hAnsi="Times New Roman"/>
          <w:sz w:val="32"/>
          <w:szCs w:val="32"/>
        </w:rPr>
      </w:pPr>
      <w:r>
        <w:rPr>
          <w:rFonts w:ascii="Lucida Sans" w:hAnsi="Lucida Sans" w:cs="Lucida Sans"/>
          <w:b/>
          <w:bCs/>
          <w:color w:val="0D0D0D"/>
          <w:sz w:val="32"/>
          <w:szCs w:val="32"/>
        </w:rPr>
        <w:t>A</w:t>
      </w:r>
      <w:r w:rsidR="00555057">
        <w:rPr>
          <w:rFonts w:ascii="Lucida Sans" w:hAnsi="Lucida Sans" w:cs="Lucida Sans"/>
          <w:b/>
          <w:bCs/>
          <w:color w:val="0D0D0D"/>
          <w:sz w:val="32"/>
          <w:szCs w:val="32"/>
        </w:rPr>
        <w:t xml:space="preserve">l </w:t>
      </w:r>
      <w:bookmarkStart w:id="0" w:name="OLE_LINK1"/>
      <w:r w:rsidR="00555057">
        <w:rPr>
          <w:rFonts w:ascii="Lucida Sans" w:hAnsi="Lucida Sans" w:cs="Lucida Sans"/>
          <w:b/>
          <w:bCs/>
          <w:color w:val="0D0D0D"/>
          <w:sz w:val="32"/>
          <w:szCs w:val="32"/>
        </w:rPr>
        <w:t>30</w:t>
      </w:r>
      <w:r w:rsidR="00F3211F" w:rsidRPr="00F3211F">
        <w:rPr>
          <w:rFonts w:ascii="Lucida Sans" w:hAnsi="Lucida Sans" w:cs="Lucida Sans"/>
          <w:b/>
          <w:bCs/>
          <w:color w:val="0D0D0D"/>
          <w:sz w:val="32"/>
          <w:szCs w:val="32"/>
        </w:rPr>
        <w:t xml:space="preserve"> de </w:t>
      </w:r>
      <w:r w:rsidR="003E0E60">
        <w:rPr>
          <w:rFonts w:ascii="Lucida Sans" w:hAnsi="Lucida Sans" w:cs="Lucida Sans"/>
          <w:b/>
          <w:bCs/>
          <w:color w:val="0D0D0D"/>
          <w:sz w:val="32"/>
          <w:szCs w:val="32"/>
        </w:rPr>
        <w:t>setiembre</w:t>
      </w:r>
      <w:r w:rsidR="00555057">
        <w:rPr>
          <w:rFonts w:ascii="Lucida Sans" w:hAnsi="Lucida Sans" w:cs="Lucida Sans"/>
          <w:b/>
          <w:bCs/>
          <w:color w:val="0D0D0D"/>
          <w:sz w:val="32"/>
          <w:szCs w:val="32"/>
        </w:rPr>
        <w:t xml:space="preserve"> </w:t>
      </w:r>
      <w:bookmarkEnd w:id="0"/>
      <w:r w:rsidR="00823226">
        <w:rPr>
          <w:rFonts w:ascii="Lucida Sans" w:hAnsi="Lucida Sans" w:cs="Lucida Sans"/>
          <w:b/>
          <w:bCs/>
          <w:color w:val="0D0D0D"/>
          <w:sz w:val="32"/>
          <w:szCs w:val="32"/>
        </w:rPr>
        <w:t>del 2015</w:t>
      </w:r>
    </w:p>
    <w:p w:rsidR="00C35ED4" w:rsidRPr="00DF0167" w:rsidRDefault="00C35ED4">
      <w:pPr>
        <w:widowControl w:val="0"/>
        <w:autoSpaceDE w:val="0"/>
        <w:autoSpaceDN w:val="0"/>
        <w:adjustRightInd w:val="0"/>
        <w:spacing w:after="0" w:line="240" w:lineRule="auto"/>
        <w:rPr>
          <w:rFonts w:ascii="Times New Roman" w:hAnsi="Times New Roman"/>
          <w:sz w:val="48"/>
          <w:szCs w:val="48"/>
        </w:rPr>
        <w:sectPr w:rsidR="00C35ED4" w:rsidRPr="00DF0167" w:rsidSect="00BA0DAB">
          <w:headerReference w:type="default" r:id="rId9"/>
          <w:footerReference w:type="default" r:id="rId10"/>
          <w:pgSz w:w="12240" w:h="15844"/>
          <w:pgMar w:top="717" w:right="1467" w:bottom="442" w:left="1701" w:header="284" w:footer="720" w:gutter="0"/>
          <w:cols w:space="720" w:equalWidth="0">
            <w:col w:w="8973"/>
          </w:cols>
          <w:noEndnote/>
        </w:sect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40" w:lineRule="auto"/>
        <w:rPr>
          <w:rFonts w:ascii="Times New Roman" w:hAnsi="Times New Roman"/>
          <w:sz w:val="24"/>
          <w:szCs w:val="24"/>
        </w:rPr>
        <w:sectPr w:rsidR="00C35ED4" w:rsidSect="00BA0DAB">
          <w:type w:val="continuous"/>
          <w:pgSz w:w="12240" w:h="15844"/>
          <w:pgMar w:top="717" w:right="4302" w:bottom="442" w:left="1800" w:header="720" w:footer="720" w:gutter="0"/>
          <w:cols w:space="720" w:equalWidth="0">
            <w:col w:w="6178"/>
          </w:cols>
          <w:noEndnote/>
        </w:sectPr>
      </w:pPr>
    </w:p>
    <w:p w:rsidR="006059E5" w:rsidRDefault="006059E5">
      <w:pPr>
        <w:widowControl w:val="0"/>
        <w:autoSpaceDE w:val="0"/>
        <w:autoSpaceDN w:val="0"/>
        <w:adjustRightInd w:val="0"/>
        <w:spacing w:after="0" w:line="240" w:lineRule="auto"/>
        <w:ind w:left="2140"/>
        <w:rPr>
          <w:rFonts w:ascii="Times New Roman" w:hAnsi="Times New Roman"/>
          <w:b/>
          <w:bCs/>
          <w:sz w:val="20"/>
          <w:szCs w:val="20"/>
        </w:rPr>
      </w:pPr>
      <w:bookmarkStart w:id="1" w:name="page2"/>
      <w:bookmarkStart w:id="2" w:name="page4"/>
      <w:bookmarkStart w:id="3" w:name="page7"/>
      <w:bookmarkEnd w:id="1"/>
      <w:bookmarkEnd w:id="2"/>
      <w:bookmarkEnd w:id="3"/>
    </w:p>
    <w:p w:rsidR="007773FD" w:rsidRPr="00044DD3" w:rsidRDefault="007773FD">
      <w:pPr>
        <w:widowControl w:val="0"/>
        <w:autoSpaceDE w:val="0"/>
        <w:autoSpaceDN w:val="0"/>
        <w:adjustRightInd w:val="0"/>
        <w:spacing w:after="0" w:line="240" w:lineRule="auto"/>
        <w:ind w:left="2140"/>
        <w:rPr>
          <w:rFonts w:ascii="Times New Roman" w:hAnsi="Times New Roman"/>
          <w:b/>
          <w:bCs/>
          <w:sz w:val="20"/>
          <w:szCs w:val="20"/>
        </w:rPr>
      </w:pPr>
    </w:p>
    <w:p w:rsidR="00C35ED4" w:rsidRDefault="00C35ED4">
      <w:pPr>
        <w:widowControl w:val="0"/>
        <w:autoSpaceDE w:val="0"/>
        <w:autoSpaceDN w:val="0"/>
        <w:adjustRightInd w:val="0"/>
        <w:spacing w:after="0" w:line="240" w:lineRule="auto"/>
        <w:ind w:left="2140"/>
        <w:rPr>
          <w:rFonts w:ascii="Times New Roman" w:hAnsi="Times New Roman"/>
          <w:sz w:val="24"/>
          <w:szCs w:val="24"/>
        </w:rPr>
      </w:pPr>
      <w:proofErr w:type="spellStart"/>
      <w:r>
        <w:rPr>
          <w:rFonts w:ascii="Times New Roman" w:hAnsi="Times New Roman"/>
          <w:b/>
          <w:bCs/>
          <w:sz w:val="28"/>
          <w:szCs w:val="28"/>
        </w:rPr>
        <w:t>Essential</w:t>
      </w:r>
      <w:proofErr w:type="spellEnd"/>
      <w:r>
        <w:rPr>
          <w:rFonts w:ascii="Times New Roman" w:hAnsi="Times New Roman"/>
          <w:b/>
          <w:bCs/>
          <w:sz w:val="28"/>
          <w:szCs w:val="28"/>
        </w:rPr>
        <w:t xml:space="preserve"> Corredora de Seguros, S. A</w:t>
      </w:r>
      <w:r w:rsidR="009639E3">
        <w:rPr>
          <w:rFonts w:ascii="Times New Roman" w:hAnsi="Times New Roman"/>
          <w:b/>
          <w:bCs/>
          <w:sz w:val="28"/>
          <w:szCs w:val="28"/>
        </w:rPr>
        <w:t>.</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rsidP="00DF0167">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C35ED4" w:rsidRDefault="00555057" w:rsidP="00DF0167">
      <w:pPr>
        <w:widowControl w:val="0"/>
        <w:autoSpaceDE w:val="0"/>
        <w:autoSpaceDN w:val="0"/>
        <w:adjustRightInd w:val="0"/>
        <w:spacing w:after="0" w:line="240" w:lineRule="auto"/>
        <w:ind w:left="3000"/>
        <w:rPr>
          <w:rFonts w:ascii="Times New Roman" w:hAnsi="Times New Roman"/>
          <w:sz w:val="24"/>
          <w:szCs w:val="24"/>
        </w:rPr>
      </w:pPr>
      <w:r>
        <w:rPr>
          <w:rFonts w:ascii="Times New Roman" w:hAnsi="Times New Roman"/>
          <w:b/>
          <w:bCs/>
          <w:sz w:val="23"/>
          <w:szCs w:val="23"/>
        </w:rPr>
        <w:t>Al 30</w:t>
      </w:r>
      <w:r w:rsidR="00C35ED4">
        <w:rPr>
          <w:rFonts w:ascii="Times New Roman" w:hAnsi="Times New Roman"/>
          <w:b/>
          <w:bCs/>
          <w:sz w:val="23"/>
          <w:szCs w:val="23"/>
        </w:rPr>
        <w:t xml:space="preserve"> de </w:t>
      </w:r>
      <w:r w:rsidR="003E0E60">
        <w:rPr>
          <w:rFonts w:ascii="Times New Roman" w:hAnsi="Times New Roman"/>
          <w:b/>
          <w:bCs/>
          <w:sz w:val="23"/>
          <w:szCs w:val="23"/>
        </w:rPr>
        <w:t>setiembre</w:t>
      </w:r>
      <w:r w:rsidR="007773FD">
        <w:rPr>
          <w:rFonts w:ascii="Times New Roman" w:hAnsi="Times New Roman"/>
          <w:b/>
          <w:bCs/>
          <w:sz w:val="23"/>
          <w:szCs w:val="23"/>
        </w:rPr>
        <w:t xml:space="preserve"> del 2015</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proofErr w:type="spellStart"/>
      <w:r>
        <w:rPr>
          <w:rFonts w:ascii="Times New Roman" w:hAnsi="Times New Roman"/>
          <w:sz w:val="23"/>
          <w:szCs w:val="23"/>
        </w:rPr>
        <w:t>Essential</w:t>
      </w:r>
      <w:proofErr w:type="spellEnd"/>
      <w:r>
        <w:rPr>
          <w:rFonts w:ascii="Times New Roman" w:hAnsi="Times New Roman"/>
          <w:sz w:val="23"/>
          <w:szCs w:val="23"/>
        </w:rPr>
        <w:t xml:space="preserve"> Corredora de Seguros, S. A. está domiciliada en San José, Costa Rica, y está constituida como una sociedad anónima de conformidad con las leyes de la República de Costa Rica desde el 20 de junio del 2014. Su cédula jurídica es 3-101-683696.</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C35ED4" w:rsidRDefault="00C35ED4">
      <w:pPr>
        <w:widowControl w:val="0"/>
        <w:autoSpaceDE w:val="0"/>
        <w:autoSpaceDN w:val="0"/>
        <w:adjustRightInd w:val="0"/>
        <w:spacing w:after="0" w:line="270" w:lineRule="exact"/>
        <w:rPr>
          <w:rFonts w:ascii="Times New Roman" w:hAnsi="Times New Roman"/>
          <w:sz w:val="24"/>
          <w:szCs w:val="24"/>
        </w:rPr>
      </w:pPr>
    </w:p>
    <w:p w:rsidR="00C35ED4" w:rsidRDefault="00C35ED4">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C35ED4" w:rsidRDefault="00C35ED4">
      <w:pPr>
        <w:widowControl w:val="0"/>
        <w:autoSpaceDE w:val="0"/>
        <w:autoSpaceDN w:val="0"/>
        <w:adjustRightInd w:val="0"/>
        <w:spacing w:after="0" w:line="259" w:lineRule="exact"/>
        <w:rPr>
          <w:rFonts w:ascii="Times New Roman" w:hAnsi="Times New Roman"/>
          <w:b/>
          <w:bCs/>
          <w:sz w:val="23"/>
          <w:szCs w:val="23"/>
        </w:rPr>
      </w:pPr>
    </w:p>
    <w:p w:rsidR="00C35ED4" w:rsidRDefault="00C35ED4">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C35ED4" w:rsidRDefault="00C35ED4">
      <w:pPr>
        <w:widowControl w:val="0"/>
        <w:autoSpaceDE w:val="0"/>
        <w:autoSpaceDN w:val="0"/>
        <w:adjustRightInd w:val="0"/>
        <w:spacing w:after="0" w:line="273"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C35ED4" w:rsidRDefault="00C35ED4">
      <w:pPr>
        <w:widowControl w:val="0"/>
        <w:autoSpaceDE w:val="0"/>
        <w:autoSpaceDN w:val="0"/>
        <w:adjustRightInd w:val="0"/>
        <w:spacing w:after="0" w:line="314"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C35ED4" w:rsidRDefault="00C35ED4">
      <w:pPr>
        <w:widowControl w:val="0"/>
        <w:autoSpaceDE w:val="0"/>
        <w:autoSpaceDN w:val="0"/>
        <w:adjustRightInd w:val="0"/>
        <w:spacing w:after="0" w:line="240" w:lineRule="auto"/>
        <w:rPr>
          <w:rFonts w:ascii="Times New Roman" w:hAnsi="Times New Roman"/>
          <w:sz w:val="24"/>
          <w:szCs w:val="24"/>
        </w:rPr>
      </w:pPr>
    </w:p>
    <w:p w:rsidR="00C35ED4" w:rsidRPr="007773FD" w:rsidRDefault="00C35ED4" w:rsidP="007773FD">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4" w:name="page8"/>
      <w:bookmarkEnd w:id="4"/>
      <w:r w:rsidRPr="007773FD">
        <w:rPr>
          <w:rFonts w:ascii="Times New Roman" w:hAnsi="Times New Roman"/>
          <w:sz w:val="23"/>
          <w:szCs w:val="23"/>
        </w:rPr>
        <w:t>Moneda extranjera</w:t>
      </w:r>
    </w:p>
    <w:p w:rsidR="007773FD" w:rsidRDefault="007773FD" w:rsidP="007773FD">
      <w:pPr>
        <w:widowControl w:val="0"/>
        <w:autoSpaceDE w:val="0"/>
        <w:autoSpaceDN w:val="0"/>
        <w:adjustRightInd w:val="0"/>
        <w:spacing w:after="0" w:line="239" w:lineRule="auto"/>
        <w:rPr>
          <w:rFonts w:ascii="Times New Roman" w:hAnsi="Times New Roman"/>
          <w:sz w:val="24"/>
          <w:szCs w:val="24"/>
        </w:rPr>
      </w:pPr>
    </w:p>
    <w:p w:rsidR="007773FD" w:rsidRPr="007773FD" w:rsidRDefault="007773FD" w:rsidP="007773FD">
      <w:pPr>
        <w:widowControl w:val="0"/>
        <w:autoSpaceDE w:val="0"/>
        <w:autoSpaceDN w:val="0"/>
        <w:adjustRightInd w:val="0"/>
        <w:spacing w:after="0" w:line="239" w:lineRule="auto"/>
        <w:rPr>
          <w:rFonts w:ascii="Times New Roman" w:hAnsi="Times New Roman"/>
          <w:sz w:val="24"/>
          <w:szCs w:val="24"/>
        </w:rPr>
      </w:pP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C35ED4" w:rsidRDefault="00C35ED4">
      <w:pPr>
        <w:widowControl w:val="0"/>
        <w:autoSpaceDE w:val="0"/>
        <w:autoSpaceDN w:val="0"/>
        <w:adjustRightInd w:val="0"/>
        <w:spacing w:after="0" w:line="323"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C35ED4" w:rsidRDefault="00C35ED4">
      <w:pPr>
        <w:widowControl w:val="0"/>
        <w:autoSpaceDE w:val="0"/>
        <w:autoSpaceDN w:val="0"/>
        <w:adjustRightInd w:val="0"/>
        <w:spacing w:after="0" w:line="269"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C35ED4" w:rsidRDefault="00C35ED4">
      <w:pPr>
        <w:widowControl w:val="0"/>
        <w:autoSpaceDE w:val="0"/>
        <w:autoSpaceDN w:val="0"/>
        <w:adjustRightInd w:val="0"/>
        <w:spacing w:after="0" w:line="323"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555057">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Al 30</w:t>
      </w:r>
      <w:r w:rsidR="00C35ED4">
        <w:rPr>
          <w:rFonts w:ascii="Times New Roman" w:hAnsi="Times New Roman"/>
          <w:sz w:val="23"/>
          <w:szCs w:val="23"/>
        </w:rPr>
        <w:t xml:space="preserve"> de </w:t>
      </w:r>
      <w:r w:rsidR="003E0E60">
        <w:rPr>
          <w:rFonts w:ascii="Times New Roman" w:hAnsi="Times New Roman"/>
          <w:sz w:val="23"/>
          <w:szCs w:val="23"/>
        </w:rPr>
        <w:t>setiembre</w:t>
      </w:r>
      <w:r w:rsidR="007773FD">
        <w:rPr>
          <w:rFonts w:ascii="Times New Roman" w:hAnsi="Times New Roman"/>
          <w:sz w:val="23"/>
          <w:szCs w:val="23"/>
        </w:rPr>
        <w:t xml:space="preserve"> del 2015</w:t>
      </w:r>
      <w:r w:rsidR="00C35ED4">
        <w:rPr>
          <w:rFonts w:ascii="Times New Roman" w:hAnsi="Times New Roman"/>
          <w:sz w:val="23"/>
          <w:szCs w:val="23"/>
        </w:rPr>
        <w:t xml:space="preserve">, los activos y pasivos denominados en dólares de los Estados Unidos de América fueron valuados al tipo de </w:t>
      </w:r>
      <w:r w:rsidR="007773FD">
        <w:rPr>
          <w:rFonts w:ascii="Times New Roman" w:hAnsi="Times New Roman"/>
          <w:sz w:val="23"/>
          <w:szCs w:val="23"/>
        </w:rPr>
        <w:t>cambio de compra que fue de ¢52</w:t>
      </w:r>
      <w:r w:rsidR="003E0E60">
        <w:rPr>
          <w:rFonts w:ascii="Times New Roman" w:hAnsi="Times New Roman"/>
          <w:sz w:val="23"/>
          <w:szCs w:val="23"/>
        </w:rPr>
        <w:t>8,62</w:t>
      </w:r>
      <w:r w:rsidR="00C35ED4">
        <w:rPr>
          <w:rFonts w:ascii="Times New Roman" w:hAnsi="Times New Roman"/>
          <w:sz w:val="23"/>
          <w:szCs w:val="23"/>
        </w:rPr>
        <w:t xml:space="preserve"> al final del período.</w:t>
      </w:r>
    </w:p>
    <w:p w:rsidR="00C35ED4" w:rsidRDefault="00C35ED4">
      <w:pPr>
        <w:widowControl w:val="0"/>
        <w:autoSpaceDE w:val="0"/>
        <w:autoSpaceDN w:val="0"/>
        <w:adjustRightInd w:val="0"/>
        <w:spacing w:after="0" w:line="267"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C35ED4" w:rsidRDefault="00C35ED4">
      <w:pPr>
        <w:widowControl w:val="0"/>
        <w:autoSpaceDE w:val="0"/>
        <w:autoSpaceDN w:val="0"/>
        <w:adjustRightInd w:val="0"/>
        <w:spacing w:after="0" w:line="270"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bookmarkStart w:id="5" w:name="page9"/>
      <w:bookmarkEnd w:id="5"/>
      <w:r>
        <w:rPr>
          <w:rFonts w:ascii="Times New Roman" w:hAnsi="Times New Roman"/>
          <w:i/>
          <w:iCs/>
          <w:sz w:val="23"/>
          <w:szCs w:val="23"/>
        </w:rPr>
        <w:lastRenderedPageBreak/>
        <w:t>ii. Reconocimiento</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iv. Principios de medición del valor razonable</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C35ED4" w:rsidRDefault="00C35ED4">
      <w:pPr>
        <w:widowControl w:val="0"/>
        <w:autoSpaceDE w:val="0"/>
        <w:autoSpaceDN w:val="0"/>
        <w:adjustRightInd w:val="0"/>
        <w:spacing w:after="0" w:line="323"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C35ED4" w:rsidRDefault="00C35ED4">
      <w:pPr>
        <w:widowControl w:val="0"/>
        <w:autoSpaceDE w:val="0"/>
        <w:autoSpaceDN w:val="0"/>
        <w:adjustRightInd w:val="0"/>
        <w:spacing w:after="0" w:line="325"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C35ED4" w:rsidRDefault="00C35ED4">
      <w:pPr>
        <w:widowControl w:val="0"/>
        <w:autoSpaceDE w:val="0"/>
        <w:autoSpaceDN w:val="0"/>
        <w:adjustRightInd w:val="0"/>
        <w:spacing w:after="0" w:line="326"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rsidP="003E60C3">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disponibles para la venta se reconocen directamente en el patrimonio hasta que una </w:t>
      </w:r>
      <w:r>
        <w:rPr>
          <w:rFonts w:ascii="Times New Roman" w:hAnsi="Times New Roman"/>
          <w:sz w:val="23"/>
          <w:szCs w:val="23"/>
        </w:rPr>
        <w:lastRenderedPageBreak/>
        <w:t>inversión se considere deteriorada, en cuyo momento la pérdida se reconoce en el estado de resultados. En el caso de la venta, cobro o</w:t>
      </w:r>
      <w:bookmarkStart w:id="6" w:name="page10"/>
      <w:bookmarkEnd w:id="6"/>
      <w:r w:rsidR="00100DD1">
        <w:rPr>
          <w:rFonts w:ascii="Times New Roman" w:hAnsi="Times New Roman"/>
          <w:sz w:val="23"/>
          <w:szCs w:val="23"/>
        </w:rPr>
        <w:t xml:space="preserve"> </w:t>
      </w:r>
      <w:r>
        <w:rPr>
          <w:rFonts w:ascii="Times New Roman" w:hAnsi="Times New Roman"/>
          <w:sz w:val="23"/>
          <w:szCs w:val="23"/>
        </w:rPr>
        <w:t xml:space="preserve">disposición de los activos financieros, la ganancia o pérdida acumulada que se reconoce en el patrimonio se transfiere al estado de resultados. </w:t>
      </w:r>
    </w:p>
    <w:p w:rsidR="003E60C3" w:rsidRDefault="003E60C3" w:rsidP="003E60C3">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 xml:space="preserve">vi. </w:t>
      </w:r>
      <w:proofErr w:type="spellStart"/>
      <w:r>
        <w:rPr>
          <w:rFonts w:ascii="Times New Roman" w:hAnsi="Times New Roman"/>
          <w:i/>
          <w:iCs/>
          <w:sz w:val="23"/>
          <w:szCs w:val="23"/>
        </w:rPr>
        <w:t>Desreconocimiento</w:t>
      </w:r>
      <w:proofErr w:type="spellEnd"/>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 xml:space="preserve">Un activo financiero se da de baja cuando la compañía pierde el control de los derechos contractuales que conforman el activo. Lo anterior ocurre cuando los derechos se hacen efectivos, se vencen o se ceden. En el caso de los pasivos financieros, estos se </w:t>
      </w:r>
      <w:proofErr w:type="spellStart"/>
      <w:r>
        <w:rPr>
          <w:rFonts w:ascii="Times New Roman" w:hAnsi="Times New Roman"/>
          <w:sz w:val="23"/>
          <w:szCs w:val="23"/>
        </w:rPr>
        <w:t>desreconocen</w:t>
      </w:r>
      <w:proofErr w:type="spellEnd"/>
      <w:r>
        <w:rPr>
          <w:rFonts w:ascii="Times New Roman" w:hAnsi="Times New Roman"/>
          <w:sz w:val="23"/>
          <w:szCs w:val="23"/>
        </w:rPr>
        <w:t xml:space="preserve"> cuando se liquidan.</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(c) Deterioro de activo</w:t>
      </w:r>
    </w:p>
    <w:p w:rsidR="00C35ED4" w:rsidRDefault="00C35ED4">
      <w:pPr>
        <w:widowControl w:val="0"/>
        <w:autoSpaceDE w:val="0"/>
        <w:autoSpaceDN w:val="0"/>
        <w:adjustRightInd w:val="0"/>
        <w:spacing w:after="0" w:line="323"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C35ED4" w:rsidRDefault="00C35ED4">
      <w:pPr>
        <w:widowControl w:val="0"/>
        <w:autoSpaceDE w:val="0"/>
        <w:autoSpaceDN w:val="0"/>
        <w:adjustRightInd w:val="0"/>
        <w:spacing w:after="0" w:line="321"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C35ED4" w:rsidRDefault="00C35ED4">
      <w:pPr>
        <w:widowControl w:val="0"/>
        <w:autoSpaceDE w:val="0"/>
        <w:autoSpaceDN w:val="0"/>
        <w:adjustRightInd w:val="0"/>
        <w:spacing w:after="0" w:line="321"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C35ED4" w:rsidRDefault="00C35ED4">
      <w:pPr>
        <w:widowControl w:val="0"/>
        <w:autoSpaceDE w:val="0"/>
        <w:autoSpaceDN w:val="0"/>
        <w:adjustRightInd w:val="0"/>
        <w:spacing w:after="0" w:line="270"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C35ED4" w:rsidRDefault="00C35ED4">
      <w:pPr>
        <w:widowControl w:val="0"/>
        <w:autoSpaceDE w:val="0"/>
        <w:autoSpaceDN w:val="0"/>
        <w:adjustRightInd w:val="0"/>
        <w:spacing w:after="0" w:line="264"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C35ED4" w:rsidRDefault="00C35ED4">
      <w:pPr>
        <w:widowControl w:val="0"/>
        <w:autoSpaceDE w:val="0"/>
        <w:autoSpaceDN w:val="0"/>
        <w:adjustRightInd w:val="0"/>
        <w:spacing w:after="0" w:line="264"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bookmarkStart w:id="7" w:name="page11"/>
      <w:bookmarkEnd w:id="7"/>
      <w:r>
        <w:rPr>
          <w:rFonts w:ascii="Times New Roman" w:hAnsi="Times New Roman"/>
          <w:sz w:val="23"/>
          <w:szCs w:val="23"/>
        </w:rPr>
        <w:t>(f) Impuesto sobre la renta</w:t>
      </w:r>
    </w:p>
    <w:p w:rsidR="00C35ED4" w:rsidRDefault="00C35ED4">
      <w:pPr>
        <w:widowControl w:val="0"/>
        <w:autoSpaceDE w:val="0"/>
        <w:autoSpaceDN w:val="0"/>
        <w:adjustRightInd w:val="0"/>
        <w:spacing w:after="0" w:line="269"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lastRenderedPageBreak/>
        <w:t>i. Corriente:</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C35ED4" w:rsidRDefault="00C35ED4">
      <w:pPr>
        <w:widowControl w:val="0"/>
        <w:autoSpaceDE w:val="0"/>
        <w:autoSpaceDN w:val="0"/>
        <w:adjustRightInd w:val="0"/>
        <w:spacing w:after="0" w:line="322"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C35ED4" w:rsidRDefault="00C35ED4">
      <w:pPr>
        <w:widowControl w:val="0"/>
        <w:autoSpaceDE w:val="0"/>
        <w:autoSpaceDN w:val="0"/>
        <w:adjustRightInd w:val="0"/>
        <w:spacing w:after="0" w:line="271"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C35ED4" w:rsidRDefault="00C35ED4">
      <w:pPr>
        <w:widowControl w:val="0"/>
        <w:autoSpaceDE w:val="0"/>
        <w:autoSpaceDN w:val="0"/>
        <w:adjustRightInd w:val="0"/>
        <w:spacing w:after="0" w:line="321"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C35ED4" w:rsidRDefault="00C35ED4">
      <w:pPr>
        <w:widowControl w:val="0"/>
        <w:autoSpaceDE w:val="0"/>
        <w:autoSpaceDN w:val="0"/>
        <w:adjustRightInd w:val="0"/>
        <w:spacing w:after="0" w:line="264"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C35ED4" w:rsidRDefault="00C35ED4">
      <w:pPr>
        <w:widowControl w:val="0"/>
        <w:autoSpaceDE w:val="0"/>
        <w:autoSpaceDN w:val="0"/>
        <w:adjustRightInd w:val="0"/>
        <w:spacing w:after="0" w:line="322"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bookmarkStart w:id="8" w:name="page12"/>
      <w:bookmarkEnd w:id="8"/>
      <w:r>
        <w:rPr>
          <w:rFonts w:ascii="Times New Roman" w:hAnsi="Times New Roman"/>
          <w:i/>
          <w:iCs/>
          <w:sz w:val="23"/>
          <w:szCs w:val="23"/>
        </w:rPr>
        <w:t>ii. Ingreso y gasto por comisiones</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honorarios y comisiones se reconocerán cuando el servicio es brindado. En el caso que la comisión se difiera, se reconoce durante el plazo del servicio.</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(j) Garantía mínima</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64A6C">
        <w:rPr>
          <w:rFonts w:ascii="Times New Roman" w:hAnsi="Times New Roman"/>
          <w:sz w:val="23"/>
          <w:szCs w:val="23"/>
        </w:rPr>
        <w:t>Al 30</w:t>
      </w:r>
      <w:r w:rsidRPr="00864A6C">
        <w:rPr>
          <w:rFonts w:ascii="Times New Roman" w:hAnsi="Times New Roman"/>
          <w:sz w:val="23"/>
          <w:szCs w:val="23"/>
        </w:rPr>
        <w:t xml:space="preserve"> de </w:t>
      </w:r>
      <w:r w:rsidR="003E0E60">
        <w:rPr>
          <w:rFonts w:ascii="Times New Roman" w:hAnsi="Times New Roman"/>
          <w:sz w:val="23"/>
          <w:szCs w:val="23"/>
        </w:rPr>
        <w:t xml:space="preserve">setiembre </w:t>
      </w:r>
      <w:r w:rsidR="00972FF3" w:rsidRPr="00864A6C">
        <w:rPr>
          <w:rFonts w:ascii="Times New Roman" w:hAnsi="Times New Roman"/>
          <w:sz w:val="23"/>
          <w:szCs w:val="23"/>
        </w:rPr>
        <w:t>del 2015</w:t>
      </w:r>
      <w:r w:rsidRPr="00864A6C">
        <w:rPr>
          <w:rFonts w:ascii="Times New Roman" w:hAnsi="Times New Roman"/>
          <w:sz w:val="23"/>
          <w:szCs w:val="23"/>
        </w:rPr>
        <w:t xml:space="preserve"> la unidad</w:t>
      </w:r>
      <w:r w:rsidR="00864A6C" w:rsidRPr="00864A6C">
        <w:rPr>
          <w:rFonts w:ascii="Times New Roman" w:hAnsi="Times New Roman"/>
          <w:sz w:val="23"/>
          <w:szCs w:val="23"/>
        </w:rPr>
        <w:t xml:space="preserve"> de desarrollo se valuaba a ¢</w:t>
      </w:r>
      <w:r w:rsidR="003E0E60" w:rsidRPr="003E0E60">
        <w:rPr>
          <w:rFonts w:ascii="Times New Roman" w:hAnsi="Times New Roman"/>
          <w:sz w:val="23"/>
          <w:szCs w:val="23"/>
        </w:rPr>
        <w:t>859,7460</w:t>
      </w:r>
    </w:p>
    <w:p w:rsidR="00C35ED4" w:rsidRDefault="00C35ED4">
      <w:pPr>
        <w:widowControl w:val="0"/>
        <w:autoSpaceDE w:val="0"/>
        <w:autoSpaceDN w:val="0"/>
        <w:adjustRightInd w:val="0"/>
        <w:spacing w:after="0" w:line="272"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C35ED4" w:rsidRDefault="00C35ED4">
      <w:pPr>
        <w:widowControl w:val="0"/>
        <w:autoSpaceDE w:val="0"/>
        <w:autoSpaceDN w:val="0"/>
        <w:adjustRightInd w:val="0"/>
        <w:spacing w:after="0" w:line="261" w:lineRule="exact"/>
        <w:rPr>
          <w:rFonts w:ascii="Times New Roman" w:hAnsi="Times New Roman"/>
          <w:sz w:val="24"/>
          <w:szCs w:val="24"/>
        </w:rPr>
      </w:pPr>
    </w:p>
    <w:p w:rsidR="00C35ED4" w:rsidRDefault="00864A6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Al 30</w:t>
      </w:r>
      <w:r w:rsidR="00C35ED4">
        <w:rPr>
          <w:rFonts w:ascii="Times New Roman" w:hAnsi="Times New Roman"/>
          <w:sz w:val="23"/>
          <w:szCs w:val="23"/>
        </w:rPr>
        <w:t xml:space="preserve"> de </w:t>
      </w:r>
      <w:r w:rsidR="003E0E60">
        <w:rPr>
          <w:rFonts w:ascii="Times New Roman" w:hAnsi="Times New Roman"/>
          <w:sz w:val="23"/>
          <w:szCs w:val="23"/>
        </w:rPr>
        <w:t>setiembre</w:t>
      </w:r>
      <w:r w:rsidR="00C35ED4">
        <w:rPr>
          <w:rFonts w:ascii="Times New Roman" w:hAnsi="Times New Roman"/>
          <w:sz w:val="23"/>
          <w:szCs w:val="23"/>
        </w:rPr>
        <w:t>, no existen saldos y transacciones con partes relacionadas.</w:t>
      </w:r>
    </w:p>
    <w:p w:rsidR="00C35ED4" w:rsidRDefault="00C35ED4">
      <w:pPr>
        <w:widowControl w:val="0"/>
        <w:autoSpaceDE w:val="0"/>
        <w:autoSpaceDN w:val="0"/>
        <w:adjustRightInd w:val="0"/>
        <w:spacing w:after="0" w:line="268"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 xml:space="preserve">(5) Gastos </w:t>
      </w:r>
      <w:proofErr w:type="spellStart"/>
      <w:r>
        <w:rPr>
          <w:rFonts w:ascii="Times New Roman" w:hAnsi="Times New Roman"/>
          <w:b/>
          <w:bCs/>
          <w:sz w:val="23"/>
          <w:szCs w:val="23"/>
        </w:rPr>
        <w:t>prepagados</w:t>
      </w:r>
      <w:proofErr w:type="spellEnd"/>
    </w:p>
    <w:p w:rsidR="00C35ED4" w:rsidRDefault="00C35ED4">
      <w:pPr>
        <w:widowControl w:val="0"/>
        <w:autoSpaceDE w:val="0"/>
        <w:autoSpaceDN w:val="0"/>
        <w:adjustRightInd w:val="0"/>
        <w:spacing w:after="0" w:line="314" w:lineRule="exact"/>
        <w:rPr>
          <w:rFonts w:ascii="Times New Roman" w:hAnsi="Times New Roman"/>
          <w:sz w:val="24"/>
          <w:szCs w:val="24"/>
        </w:rPr>
      </w:pPr>
    </w:p>
    <w:p w:rsidR="00C35ED4" w:rsidRDefault="00864A6C">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30 </w:t>
      </w:r>
      <w:r w:rsidR="00C35ED4">
        <w:rPr>
          <w:rFonts w:ascii="Times New Roman" w:hAnsi="Times New Roman"/>
          <w:sz w:val="23"/>
          <w:szCs w:val="23"/>
        </w:rPr>
        <w:t xml:space="preserve">de </w:t>
      </w:r>
      <w:r w:rsidR="003E0E60">
        <w:rPr>
          <w:rFonts w:ascii="Times New Roman" w:hAnsi="Times New Roman"/>
          <w:sz w:val="23"/>
          <w:szCs w:val="23"/>
        </w:rPr>
        <w:t>setiembre</w:t>
      </w:r>
      <w:r>
        <w:rPr>
          <w:rFonts w:ascii="Times New Roman" w:hAnsi="Times New Roman"/>
          <w:sz w:val="23"/>
          <w:szCs w:val="23"/>
        </w:rPr>
        <w:t xml:space="preserve"> </w:t>
      </w:r>
      <w:r w:rsidR="00972FF3">
        <w:rPr>
          <w:rFonts w:ascii="Times New Roman" w:hAnsi="Times New Roman"/>
          <w:sz w:val="23"/>
          <w:szCs w:val="23"/>
        </w:rPr>
        <w:t>2015</w:t>
      </w:r>
      <w:r w:rsidR="00C35ED4">
        <w:rPr>
          <w:rFonts w:ascii="Times New Roman" w:hAnsi="Times New Roman"/>
          <w:sz w:val="23"/>
          <w:szCs w:val="23"/>
        </w:rPr>
        <w:t xml:space="preserve">, los Gastos </w:t>
      </w:r>
      <w:proofErr w:type="spellStart"/>
      <w:r w:rsidR="00C35ED4">
        <w:rPr>
          <w:rFonts w:ascii="Times New Roman" w:hAnsi="Times New Roman"/>
          <w:sz w:val="23"/>
          <w:szCs w:val="23"/>
        </w:rPr>
        <w:t>prepagados</w:t>
      </w:r>
      <w:proofErr w:type="spellEnd"/>
      <w:r w:rsidR="00C35ED4">
        <w:rPr>
          <w:rFonts w:ascii="Times New Roman" w:hAnsi="Times New Roman"/>
          <w:sz w:val="23"/>
          <w:szCs w:val="23"/>
        </w:rPr>
        <w:t xml:space="preserve"> corresponden a</w:t>
      </w:r>
      <w:r w:rsidR="00613131">
        <w:rPr>
          <w:rFonts w:ascii="Times New Roman" w:hAnsi="Times New Roman"/>
          <w:sz w:val="23"/>
          <w:szCs w:val="23"/>
        </w:rPr>
        <w:t xml:space="preserve"> seguros pagados por anticipado y el impuesto de renta retenido.</w:t>
      </w:r>
    </w:p>
    <w:p w:rsidR="00421643" w:rsidRDefault="00421643">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613131" w:rsidRDefault="003E0E60">
      <w:pPr>
        <w:widowControl w:val="0"/>
        <w:overflowPunct w:val="0"/>
        <w:autoSpaceDE w:val="0"/>
        <w:autoSpaceDN w:val="0"/>
        <w:adjustRightInd w:val="0"/>
        <w:spacing w:after="0" w:line="217" w:lineRule="auto"/>
        <w:ind w:left="40" w:right="40"/>
        <w:jc w:val="both"/>
        <w:rPr>
          <w:rFonts w:ascii="Times New Roman" w:hAnsi="Times New Roman"/>
          <w:sz w:val="24"/>
          <w:szCs w:val="24"/>
        </w:rPr>
      </w:pPr>
      <w:r w:rsidRPr="00EB4327">
        <w:rPr>
          <w:noProof/>
        </w:rPr>
        <w:drawing>
          <wp:inline distT="0" distB="0" distL="0" distR="0" wp14:anchorId="53CC56CC" wp14:editId="612AA60D">
            <wp:extent cx="3733800" cy="7810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781050"/>
                    </a:xfrm>
                    <a:prstGeom prst="rect">
                      <a:avLst/>
                    </a:prstGeom>
                    <a:noFill/>
                    <a:ln>
                      <a:noFill/>
                    </a:ln>
                  </pic:spPr>
                </pic:pic>
              </a:graphicData>
            </a:graphic>
          </wp:inline>
        </w:drawing>
      </w:r>
    </w:p>
    <w:p w:rsidR="00C35ED4" w:rsidRDefault="00C35ED4">
      <w:pPr>
        <w:widowControl w:val="0"/>
        <w:autoSpaceDE w:val="0"/>
        <w:autoSpaceDN w:val="0"/>
        <w:adjustRightInd w:val="0"/>
        <w:spacing w:after="0" w:line="268"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(6) Mobiliario y equipo</w:t>
      </w:r>
    </w:p>
    <w:p w:rsidR="00C35ED4" w:rsidRDefault="00C35ED4">
      <w:pPr>
        <w:widowControl w:val="0"/>
        <w:autoSpaceDE w:val="0"/>
        <w:autoSpaceDN w:val="0"/>
        <w:adjustRightInd w:val="0"/>
        <w:spacing w:after="0" w:line="313"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421643">
        <w:rPr>
          <w:rFonts w:ascii="Times New Roman" w:hAnsi="Times New Roman"/>
          <w:sz w:val="23"/>
          <w:szCs w:val="23"/>
        </w:rPr>
        <w:t xml:space="preserve">30 de </w:t>
      </w:r>
      <w:r w:rsidR="003E0E60">
        <w:rPr>
          <w:rFonts w:ascii="Times New Roman" w:hAnsi="Times New Roman"/>
          <w:sz w:val="23"/>
          <w:szCs w:val="23"/>
        </w:rPr>
        <w:t>setiembre</w:t>
      </w:r>
      <w:r w:rsidR="00972FF3">
        <w:rPr>
          <w:rFonts w:ascii="Times New Roman" w:hAnsi="Times New Roman"/>
          <w:sz w:val="23"/>
          <w:szCs w:val="23"/>
        </w:rPr>
        <w:t xml:space="preserve"> del 2015</w:t>
      </w:r>
      <w:r>
        <w:rPr>
          <w:rFonts w:ascii="Times New Roman" w:hAnsi="Times New Roman"/>
          <w:sz w:val="23"/>
          <w:szCs w:val="23"/>
        </w:rPr>
        <w:t>, el detalle de la cuenta de mobiliario y equipo y otros era el siguiente:</w:t>
      </w:r>
    </w:p>
    <w:p w:rsidR="00C35ED4" w:rsidRDefault="00C35ED4">
      <w:pPr>
        <w:widowControl w:val="0"/>
        <w:autoSpaceDE w:val="0"/>
        <w:autoSpaceDN w:val="0"/>
        <w:adjustRightInd w:val="0"/>
        <w:spacing w:after="0" w:line="249"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4340"/>
        <w:gridCol w:w="1660"/>
      </w:tblGrid>
      <w:tr w:rsidR="00C35ED4">
        <w:trPr>
          <w:trHeight w:val="326"/>
        </w:trPr>
        <w:tc>
          <w:tcPr>
            <w:tcW w:w="4340" w:type="dxa"/>
            <w:tcBorders>
              <w:top w:val="single" w:sz="8" w:space="0" w:color="auto"/>
              <w:left w:val="single" w:sz="8" w:space="0" w:color="auto"/>
              <w:bottom w:val="single" w:sz="8" w:space="0" w:color="auto"/>
              <w:right w:val="single" w:sz="8" w:space="0" w:color="auto"/>
            </w:tcBorders>
            <w:vAlign w:val="bottom"/>
          </w:tcPr>
          <w:p w:rsidR="00C35ED4" w:rsidRDefault="00C35ED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C35ED4" w:rsidRDefault="00C35ED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3E0E60">
        <w:trPr>
          <w:trHeight w:val="276"/>
        </w:trPr>
        <w:tc>
          <w:tcPr>
            <w:tcW w:w="4340" w:type="dxa"/>
            <w:tcBorders>
              <w:top w:val="nil"/>
              <w:left w:val="single" w:sz="8" w:space="0" w:color="auto"/>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2.564.068,19</w:t>
            </w:r>
          </w:p>
        </w:tc>
      </w:tr>
      <w:tr w:rsidR="003E0E60">
        <w:trPr>
          <w:trHeight w:val="24"/>
        </w:trPr>
        <w:tc>
          <w:tcPr>
            <w:tcW w:w="4340" w:type="dxa"/>
            <w:tcBorders>
              <w:top w:val="nil"/>
              <w:left w:val="single" w:sz="8" w:space="0" w:color="auto"/>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r>
      <w:tr w:rsidR="003E0E60">
        <w:trPr>
          <w:trHeight w:val="271"/>
        </w:trPr>
        <w:tc>
          <w:tcPr>
            <w:tcW w:w="4340" w:type="dxa"/>
            <w:tcBorders>
              <w:top w:val="nil"/>
              <w:left w:val="single" w:sz="8" w:space="0" w:color="auto"/>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Equipo de cómputo</w:t>
            </w:r>
          </w:p>
        </w:tc>
        <w:tc>
          <w:tcPr>
            <w:tcW w:w="1660"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7.301.348,19</w:t>
            </w:r>
          </w:p>
        </w:tc>
      </w:tr>
      <w:tr w:rsidR="003E0E60">
        <w:trPr>
          <w:trHeight w:val="24"/>
        </w:trPr>
        <w:tc>
          <w:tcPr>
            <w:tcW w:w="4340" w:type="dxa"/>
            <w:tcBorders>
              <w:top w:val="nil"/>
              <w:left w:val="single" w:sz="8" w:space="0" w:color="auto"/>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r>
      <w:tr w:rsidR="003E0E60">
        <w:trPr>
          <w:trHeight w:val="271"/>
        </w:trPr>
        <w:tc>
          <w:tcPr>
            <w:tcW w:w="4340" w:type="dxa"/>
            <w:tcBorders>
              <w:top w:val="nil"/>
              <w:left w:val="single" w:sz="8" w:space="0" w:color="auto"/>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5.620.032,22</w:t>
            </w:r>
          </w:p>
        </w:tc>
      </w:tr>
      <w:tr w:rsidR="003E0E60">
        <w:trPr>
          <w:trHeight w:val="24"/>
        </w:trPr>
        <w:tc>
          <w:tcPr>
            <w:tcW w:w="4340" w:type="dxa"/>
            <w:tcBorders>
              <w:top w:val="nil"/>
              <w:left w:val="single" w:sz="8" w:space="0" w:color="auto"/>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r>
      <w:tr w:rsidR="003E0E60">
        <w:trPr>
          <w:trHeight w:val="271"/>
        </w:trPr>
        <w:tc>
          <w:tcPr>
            <w:tcW w:w="4340" w:type="dxa"/>
            <w:tcBorders>
              <w:top w:val="nil"/>
              <w:left w:val="single" w:sz="8" w:space="0" w:color="auto"/>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3.604.308,95</w:t>
            </w:r>
          </w:p>
        </w:tc>
      </w:tr>
      <w:tr w:rsidR="003E0E60">
        <w:trPr>
          <w:trHeight w:val="34"/>
        </w:trPr>
        <w:tc>
          <w:tcPr>
            <w:tcW w:w="4340" w:type="dxa"/>
            <w:tcBorders>
              <w:top w:val="nil"/>
              <w:left w:val="single" w:sz="8" w:space="0" w:color="auto"/>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r>
      <w:tr w:rsidR="003E0E60">
        <w:trPr>
          <w:trHeight w:val="310"/>
        </w:trPr>
        <w:tc>
          <w:tcPr>
            <w:tcW w:w="4340" w:type="dxa"/>
            <w:tcBorders>
              <w:top w:val="nil"/>
              <w:left w:val="single" w:sz="8" w:space="0" w:color="auto"/>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ind w:right="21"/>
              <w:jc w:val="right"/>
              <w:rPr>
                <w:rFonts w:ascii="Times New Roman" w:hAnsi="Times New Roman"/>
                <w:sz w:val="24"/>
                <w:szCs w:val="24"/>
              </w:rPr>
            </w:pPr>
            <w:r>
              <w:rPr>
                <w:rFonts w:ascii="Times New Roman" w:hAnsi="Times New Roman"/>
                <w:b/>
                <w:bCs/>
              </w:rPr>
              <w:t>₡19.089.757,55</w:t>
            </w:r>
          </w:p>
        </w:tc>
      </w:tr>
    </w:tbl>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(7) Otros activos</w:t>
      </w:r>
    </w:p>
    <w:p w:rsidR="00C35ED4" w:rsidRDefault="00C35ED4">
      <w:pPr>
        <w:widowControl w:val="0"/>
        <w:autoSpaceDE w:val="0"/>
        <w:autoSpaceDN w:val="0"/>
        <w:adjustRightInd w:val="0"/>
        <w:spacing w:after="0" w:line="261" w:lineRule="exact"/>
        <w:rPr>
          <w:rFonts w:ascii="Times New Roman" w:hAnsi="Times New Roman"/>
          <w:sz w:val="24"/>
          <w:szCs w:val="24"/>
        </w:rPr>
      </w:pPr>
    </w:p>
    <w:p w:rsidR="00C35ED4" w:rsidRDefault="00972FF3" w:rsidP="00421643">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 xml:space="preserve">Al </w:t>
      </w:r>
      <w:r w:rsidR="00421643">
        <w:rPr>
          <w:rFonts w:ascii="Times New Roman" w:hAnsi="Times New Roman"/>
          <w:sz w:val="23"/>
          <w:szCs w:val="23"/>
        </w:rPr>
        <w:t xml:space="preserve">30 de </w:t>
      </w:r>
      <w:r w:rsidR="003E0E60">
        <w:rPr>
          <w:rFonts w:ascii="Times New Roman" w:hAnsi="Times New Roman"/>
          <w:sz w:val="23"/>
          <w:szCs w:val="23"/>
        </w:rPr>
        <w:t>setiembre</w:t>
      </w:r>
      <w:r>
        <w:rPr>
          <w:rFonts w:ascii="Times New Roman" w:hAnsi="Times New Roman"/>
          <w:sz w:val="23"/>
          <w:szCs w:val="23"/>
        </w:rPr>
        <w:t xml:space="preserve"> del 2015</w:t>
      </w:r>
      <w:r w:rsidR="00C35ED4">
        <w:rPr>
          <w:rFonts w:ascii="Times New Roman" w:hAnsi="Times New Roman"/>
          <w:sz w:val="23"/>
          <w:szCs w:val="23"/>
        </w:rPr>
        <w:t xml:space="preserve"> el detalle de otros activos era el siguiente:</w:t>
      </w:r>
      <w:r w:rsidR="0042270F">
        <w:rPr>
          <w:noProof/>
        </w:rPr>
        <w:drawing>
          <wp:anchor distT="0" distB="0" distL="114300" distR="114300" simplePos="0" relativeHeight="251687936" behindDoc="1" locked="0" layoutInCell="0" allowOverlap="1" wp14:anchorId="081070AC" wp14:editId="79BF374B">
            <wp:simplePos x="0" y="0"/>
            <wp:positionH relativeFrom="column">
              <wp:posOffset>4652010</wp:posOffset>
            </wp:positionH>
            <wp:positionV relativeFrom="paragraph">
              <wp:posOffset>172720</wp:posOffset>
            </wp:positionV>
            <wp:extent cx="0" cy="88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3E0E60" w:rsidTr="00DF0167">
        <w:trPr>
          <w:trHeight w:val="431"/>
        </w:trPr>
        <w:tc>
          <w:tcPr>
            <w:tcW w:w="1441" w:type="dxa"/>
            <w:tcBorders>
              <w:top w:val="nil"/>
              <w:left w:val="nil"/>
              <w:bottom w:val="nil"/>
              <w:right w:val="single" w:sz="8" w:space="0" w:color="auto"/>
            </w:tcBorders>
            <w:vAlign w:val="bottom"/>
          </w:tcPr>
          <w:p w:rsidR="003E0E60" w:rsidRDefault="003E0E60">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3E0E60" w:rsidRDefault="003E0E60">
            <w:pPr>
              <w:widowControl w:val="0"/>
              <w:autoSpaceDE w:val="0"/>
              <w:autoSpaceDN w:val="0"/>
              <w:adjustRightInd w:val="0"/>
              <w:spacing w:after="0" w:line="240" w:lineRule="auto"/>
              <w:rPr>
                <w:rFonts w:ascii="Times New Roman" w:hAnsi="Times New Roman"/>
                <w:sz w:val="24"/>
                <w:szCs w:val="24"/>
              </w:rPr>
            </w:pPr>
          </w:p>
        </w:tc>
      </w:tr>
      <w:tr w:rsidR="003E0E60" w:rsidTr="00DF0167">
        <w:trPr>
          <w:trHeight w:val="369"/>
        </w:trPr>
        <w:tc>
          <w:tcPr>
            <w:tcW w:w="1441" w:type="dxa"/>
            <w:tcBorders>
              <w:top w:val="nil"/>
              <w:left w:val="nil"/>
              <w:bottom w:val="nil"/>
              <w:right w:val="single" w:sz="8" w:space="0" w:color="auto"/>
            </w:tcBorders>
            <w:vAlign w:val="bottom"/>
          </w:tcPr>
          <w:p w:rsidR="003E0E60" w:rsidRDefault="003E0E60">
            <w:pPr>
              <w:widowControl w:val="0"/>
              <w:autoSpaceDE w:val="0"/>
              <w:autoSpaceDN w:val="0"/>
              <w:adjustRightInd w:val="0"/>
              <w:spacing w:after="0" w:line="240" w:lineRule="auto"/>
              <w:rPr>
                <w:rFonts w:ascii="Times New Roman" w:hAnsi="Times New Roman"/>
                <w:sz w:val="24"/>
                <w:szCs w:val="24"/>
              </w:rPr>
            </w:pPr>
          </w:p>
        </w:tc>
        <w:tc>
          <w:tcPr>
            <w:tcW w:w="3919"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8"/>
                <w:szCs w:val="18"/>
              </w:rPr>
              <w:t>Costos de organización e instalación</w:t>
            </w:r>
          </w:p>
        </w:tc>
        <w:tc>
          <w:tcPr>
            <w:tcW w:w="2091"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right="34"/>
              <w:jc w:val="right"/>
              <w:rPr>
                <w:rFonts w:ascii="Times New Roman" w:hAnsi="Times New Roman"/>
                <w:sz w:val="24"/>
                <w:szCs w:val="24"/>
              </w:rPr>
            </w:pPr>
            <w:r>
              <w:rPr>
                <w:rFonts w:ascii="Arial" w:hAnsi="Arial" w:cs="Arial"/>
                <w:sz w:val="18"/>
                <w:szCs w:val="18"/>
              </w:rPr>
              <w:t>64.234.874,04</w:t>
            </w:r>
          </w:p>
        </w:tc>
        <w:tc>
          <w:tcPr>
            <w:tcW w:w="1400" w:type="dxa"/>
            <w:tcBorders>
              <w:top w:val="nil"/>
              <w:left w:val="nil"/>
              <w:bottom w:val="nil"/>
              <w:right w:val="nil"/>
            </w:tcBorders>
            <w:vAlign w:val="bottom"/>
          </w:tcPr>
          <w:p w:rsidR="003E0E60" w:rsidRDefault="003E0E60">
            <w:pPr>
              <w:widowControl w:val="0"/>
              <w:autoSpaceDE w:val="0"/>
              <w:autoSpaceDN w:val="0"/>
              <w:adjustRightInd w:val="0"/>
              <w:spacing w:after="0" w:line="240" w:lineRule="auto"/>
              <w:rPr>
                <w:rFonts w:ascii="Times New Roman" w:hAnsi="Times New Roman"/>
                <w:sz w:val="24"/>
                <w:szCs w:val="24"/>
              </w:rPr>
            </w:pPr>
          </w:p>
        </w:tc>
      </w:tr>
      <w:tr w:rsidR="003E0E60" w:rsidTr="00DF0167">
        <w:trPr>
          <w:trHeight w:val="31"/>
        </w:trPr>
        <w:tc>
          <w:tcPr>
            <w:tcW w:w="1441" w:type="dxa"/>
            <w:tcBorders>
              <w:top w:val="nil"/>
              <w:left w:val="nil"/>
              <w:bottom w:val="nil"/>
              <w:right w:val="single" w:sz="8" w:space="0" w:color="auto"/>
            </w:tcBorders>
            <w:vAlign w:val="bottom"/>
          </w:tcPr>
          <w:p w:rsidR="003E0E60" w:rsidRDefault="003E0E60">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3E0E60" w:rsidRDefault="003E0E60">
            <w:pPr>
              <w:widowControl w:val="0"/>
              <w:autoSpaceDE w:val="0"/>
              <w:autoSpaceDN w:val="0"/>
              <w:adjustRightInd w:val="0"/>
              <w:spacing w:after="0" w:line="240" w:lineRule="auto"/>
              <w:rPr>
                <w:rFonts w:ascii="Times New Roman" w:hAnsi="Times New Roman"/>
                <w:sz w:val="2"/>
                <w:szCs w:val="2"/>
              </w:rPr>
            </w:pPr>
          </w:p>
        </w:tc>
      </w:tr>
      <w:tr w:rsidR="003E0E60" w:rsidTr="00DF0167">
        <w:trPr>
          <w:trHeight w:val="366"/>
        </w:trPr>
        <w:tc>
          <w:tcPr>
            <w:tcW w:w="1441" w:type="dxa"/>
            <w:tcBorders>
              <w:top w:val="nil"/>
              <w:left w:val="nil"/>
              <w:bottom w:val="nil"/>
              <w:right w:val="single" w:sz="8" w:space="0" w:color="auto"/>
            </w:tcBorders>
            <w:vAlign w:val="bottom"/>
          </w:tcPr>
          <w:p w:rsidR="003E0E60" w:rsidRDefault="003E0E60">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40" w:lineRule="auto"/>
              <w:ind w:right="14"/>
              <w:jc w:val="right"/>
              <w:rPr>
                <w:rFonts w:ascii="Times New Roman" w:hAnsi="Times New Roman"/>
                <w:sz w:val="24"/>
                <w:szCs w:val="24"/>
              </w:rPr>
            </w:pPr>
            <w:r>
              <w:rPr>
                <w:rFonts w:ascii="Arial" w:hAnsi="Arial" w:cs="Arial"/>
                <w:sz w:val="20"/>
                <w:szCs w:val="20"/>
              </w:rPr>
              <w:t>31.680,00</w:t>
            </w:r>
          </w:p>
        </w:tc>
        <w:tc>
          <w:tcPr>
            <w:tcW w:w="1400" w:type="dxa"/>
            <w:tcBorders>
              <w:top w:val="nil"/>
              <w:left w:val="nil"/>
              <w:bottom w:val="nil"/>
              <w:right w:val="nil"/>
            </w:tcBorders>
            <w:vAlign w:val="bottom"/>
          </w:tcPr>
          <w:p w:rsidR="003E0E60" w:rsidRDefault="003E0E60">
            <w:pPr>
              <w:widowControl w:val="0"/>
              <w:autoSpaceDE w:val="0"/>
              <w:autoSpaceDN w:val="0"/>
              <w:adjustRightInd w:val="0"/>
              <w:spacing w:after="0" w:line="240" w:lineRule="auto"/>
              <w:rPr>
                <w:rFonts w:ascii="Times New Roman" w:hAnsi="Times New Roman"/>
                <w:sz w:val="23"/>
                <w:szCs w:val="23"/>
              </w:rPr>
            </w:pPr>
          </w:p>
        </w:tc>
      </w:tr>
      <w:tr w:rsidR="003E0E60" w:rsidTr="00DF0167">
        <w:trPr>
          <w:trHeight w:val="26"/>
        </w:trPr>
        <w:tc>
          <w:tcPr>
            <w:tcW w:w="1441" w:type="dxa"/>
            <w:tcBorders>
              <w:top w:val="nil"/>
              <w:left w:val="nil"/>
              <w:bottom w:val="nil"/>
              <w:right w:val="single" w:sz="8" w:space="0" w:color="auto"/>
            </w:tcBorders>
            <w:vAlign w:val="bottom"/>
          </w:tcPr>
          <w:p w:rsidR="003E0E60" w:rsidRDefault="003E0E60">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3E0E60" w:rsidRDefault="003E0E60" w:rsidP="00662363">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3E0E60" w:rsidRDefault="003E0E60">
            <w:pPr>
              <w:widowControl w:val="0"/>
              <w:autoSpaceDE w:val="0"/>
              <w:autoSpaceDN w:val="0"/>
              <w:adjustRightInd w:val="0"/>
              <w:spacing w:after="0" w:line="20" w:lineRule="exact"/>
              <w:rPr>
                <w:rFonts w:ascii="Times New Roman" w:hAnsi="Times New Roman"/>
                <w:sz w:val="2"/>
                <w:szCs w:val="2"/>
              </w:rPr>
            </w:pPr>
          </w:p>
        </w:tc>
      </w:tr>
      <w:tr w:rsidR="003E0E60" w:rsidTr="00DF0167">
        <w:trPr>
          <w:trHeight w:val="366"/>
        </w:trPr>
        <w:tc>
          <w:tcPr>
            <w:tcW w:w="1441" w:type="dxa"/>
            <w:tcBorders>
              <w:top w:val="nil"/>
              <w:left w:val="nil"/>
              <w:bottom w:val="nil"/>
              <w:right w:val="single" w:sz="8" w:space="0" w:color="auto"/>
            </w:tcBorders>
            <w:vAlign w:val="bottom"/>
          </w:tcPr>
          <w:p w:rsidR="003E0E60" w:rsidRDefault="003E0E60">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Alquiler</w:t>
            </w:r>
          </w:p>
        </w:tc>
        <w:tc>
          <w:tcPr>
            <w:tcW w:w="2091" w:type="dxa"/>
            <w:tcBorders>
              <w:top w:val="nil"/>
              <w:left w:val="nil"/>
              <w:bottom w:val="nil"/>
              <w:right w:val="single" w:sz="8" w:space="0" w:color="auto"/>
            </w:tcBorders>
            <w:vAlign w:val="bottom"/>
          </w:tcPr>
          <w:p w:rsidR="003E0E60" w:rsidRDefault="003E0E60" w:rsidP="00662363">
            <w:pPr>
              <w:widowControl w:val="0"/>
              <w:autoSpaceDE w:val="0"/>
              <w:autoSpaceDN w:val="0"/>
              <w:adjustRightInd w:val="0"/>
              <w:spacing w:after="0" w:line="229" w:lineRule="exact"/>
              <w:ind w:right="14"/>
              <w:jc w:val="right"/>
              <w:rPr>
                <w:rFonts w:ascii="Times New Roman" w:hAnsi="Times New Roman"/>
                <w:sz w:val="24"/>
                <w:szCs w:val="24"/>
              </w:rPr>
            </w:pPr>
            <w:r>
              <w:rPr>
                <w:rFonts w:ascii="Arial" w:hAnsi="Arial" w:cs="Arial"/>
                <w:sz w:val="20"/>
                <w:szCs w:val="20"/>
              </w:rPr>
              <w:t>772.300,50</w:t>
            </w:r>
          </w:p>
        </w:tc>
        <w:tc>
          <w:tcPr>
            <w:tcW w:w="1400" w:type="dxa"/>
            <w:tcBorders>
              <w:top w:val="nil"/>
              <w:left w:val="nil"/>
              <w:bottom w:val="nil"/>
              <w:right w:val="nil"/>
            </w:tcBorders>
            <w:vAlign w:val="bottom"/>
          </w:tcPr>
          <w:p w:rsidR="003E0E60" w:rsidRDefault="003E0E60">
            <w:pPr>
              <w:widowControl w:val="0"/>
              <w:autoSpaceDE w:val="0"/>
              <w:autoSpaceDN w:val="0"/>
              <w:adjustRightInd w:val="0"/>
              <w:spacing w:after="0" w:line="240" w:lineRule="auto"/>
              <w:rPr>
                <w:rFonts w:ascii="Times New Roman" w:hAnsi="Times New Roman"/>
                <w:sz w:val="23"/>
                <w:szCs w:val="23"/>
              </w:rPr>
            </w:pPr>
          </w:p>
        </w:tc>
      </w:tr>
      <w:tr w:rsidR="00C35ED4" w:rsidTr="00DF0167">
        <w:trPr>
          <w:trHeight w:val="39"/>
        </w:trPr>
        <w:tc>
          <w:tcPr>
            <w:tcW w:w="1441" w:type="dxa"/>
            <w:tcBorders>
              <w:top w:val="nil"/>
              <w:left w:val="nil"/>
              <w:bottom w:val="nil"/>
              <w:right w:val="single" w:sz="8" w:space="0" w:color="auto"/>
            </w:tcBorders>
            <w:vAlign w:val="bottom"/>
          </w:tcPr>
          <w:p w:rsidR="00C35ED4" w:rsidRDefault="00C35ED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C35ED4" w:rsidRDefault="00C35ED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C35ED4" w:rsidRDefault="00C35ED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C35ED4" w:rsidRDefault="00C35ED4">
            <w:pPr>
              <w:widowControl w:val="0"/>
              <w:autoSpaceDE w:val="0"/>
              <w:autoSpaceDN w:val="0"/>
              <w:adjustRightInd w:val="0"/>
              <w:spacing w:after="0" w:line="240" w:lineRule="auto"/>
              <w:rPr>
                <w:rFonts w:ascii="Times New Roman" w:hAnsi="Times New Roman"/>
                <w:sz w:val="2"/>
                <w:szCs w:val="2"/>
              </w:rPr>
            </w:pPr>
          </w:p>
        </w:tc>
      </w:tr>
      <w:tr w:rsidR="00C35ED4" w:rsidTr="00DF0167">
        <w:trPr>
          <w:trHeight w:val="413"/>
        </w:trPr>
        <w:tc>
          <w:tcPr>
            <w:tcW w:w="1441" w:type="dxa"/>
            <w:tcBorders>
              <w:top w:val="nil"/>
              <w:left w:val="nil"/>
              <w:bottom w:val="nil"/>
              <w:right w:val="single" w:sz="8" w:space="0" w:color="auto"/>
            </w:tcBorders>
            <w:vAlign w:val="bottom"/>
          </w:tcPr>
          <w:p w:rsidR="00C35ED4" w:rsidRDefault="00C35ED4">
            <w:pPr>
              <w:widowControl w:val="0"/>
              <w:autoSpaceDE w:val="0"/>
              <w:autoSpaceDN w:val="0"/>
              <w:adjustRightInd w:val="0"/>
              <w:spacing w:after="0" w:line="240" w:lineRule="auto"/>
              <w:rPr>
                <w:rFonts w:ascii="Times New Roman" w:hAnsi="Times New Roman"/>
                <w:sz w:val="24"/>
                <w:szCs w:val="24"/>
              </w:rPr>
            </w:pPr>
            <w:bookmarkStart w:id="9" w:name="_Hlk432770631"/>
          </w:p>
        </w:tc>
        <w:tc>
          <w:tcPr>
            <w:tcW w:w="3919" w:type="dxa"/>
            <w:tcBorders>
              <w:top w:val="nil"/>
              <w:left w:val="nil"/>
              <w:bottom w:val="single" w:sz="8" w:space="0" w:color="auto"/>
              <w:right w:val="single" w:sz="8" w:space="0" w:color="auto"/>
            </w:tcBorders>
            <w:vAlign w:val="bottom"/>
          </w:tcPr>
          <w:p w:rsidR="00C35ED4" w:rsidRDefault="00C35ED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C35ED4" w:rsidRDefault="00C35ED4">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421643">
              <w:rPr>
                <w:rFonts w:ascii="Times New Roman" w:hAnsi="Times New Roman"/>
                <w:b/>
                <w:bCs/>
                <w:sz w:val="23"/>
                <w:szCs w:val="23"/>
              </w:rPr>
              <w:t>59.686.442,89</w:t>
            </w:r>
          </w:p>
        </w:tc>
        <w:tc>
          <w:tcPr>
            <w:tcW w:w="1400" w:type="dxa"/>
            <w:tcBorders>
              <w:top w:val="nil"/>
              <w:left w:val="nil"/>
              <w:bottom w:val="nil"/>
              <w:right w:val="nil"/>
            </w:tcBorders>
            <w:vAlign w:val="bottom"/>
          </w:tcPr>
          <w:p w:rsidR="00C35ED4" w:rsidRDefault="00C35ED4">
            <w:pPr>
              <w:widowControl w:val="0"/>
              <w:autoSpaceDE w:val="0"/>
              <w:autoSpaceDN w:val="0"/>
              <w:adjustRightInd w:val="0"/>
              <w:spacing w:after="0" w:line="240" w:lineRule="auto"/>
              <w:rPr>
                <w:rFonts w:ascii="Times New Roman" w:hAnsi="Times New Roman"/>
                <w:sz w:val="24"/>
                <w:szCs w:val="24"/>
              </w:rPr>
            </w:pPr>
          </w:p>
        </w:tc>
      </w:tr>
      <w:bookmarkEnd w:id="9"/>
    </w:tbl>
    <w:p w:rsidR="000C00B4" w:rsidRDefault="000C00B4" w:rsidP="000C00B4">
      <w:pPr>
        <w:widowControl w:val="0"/>
        <w:overflowPunct w:val="0"/>
        <w:autoSpaceDE w:val="0"/>
        <w:autoSpaceDN w:val="0"/>
        <w:adjustRightInd w:val="0"/>
        <w:spacing w:after="0" w:line="215" w:lineRule="auto"/>
        <w:ind w:right="460"/>
        <w:rPr>
          <w:rFonts w:ascii="Times New Roman" w:hAnsi="Times New Roman"/>
          <w:sz w:val="23"/>
          <w:szCs w:val="23"/>
        </w:rPr>
      </w:pPr>
    </w:p>
    <w:p w:rsidR="00C35ED4" w:rsidRDefault="000C00B4" w:rsidP="00421643">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sidR="0042270F">
        <w:rPr>
          <w:noProof/>
        </w:rPr>
        <w:drawing>
          <wp:anchor distT="0" distB="0" distL="114300" distR="114300" simplePos="0" relativeHeight="251688960" behindDoc="1" locked="0" layoutInCell="0" allowOverlap="1" wp14:anchorId="48FAF63D" wp14:editId="5EC5564E">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sidR="0042270F">
        <w:rPr>
          <w:noProof/>
        </w:rPr>
        <w:drawing>
          <wp:anchor distT="0" distB="0" distL="114300" distR="114300" simplePos="0" relativeHeight="251689984" behindDoc="1" locked="0" layoutInCell="0" allowOverlap="1" wp14:anchorId="538CC780" wp14:editId="5ACE592F">
            <wp:simplePos x="0" y="0"/>
            <wp:positionH relativeFrom="column">
              <wp:posOffset>4652010</wp:posOffset>
            </wp:positionH>
            <wp:positionV relativeFrom="paragraph">
              <wp:posOffset>-1117600</wp:posOffset>
            </wp:positionV>
            <wp:extent cx="0" cy="95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sidR="0042270F">
        <w:rPr>
          <w:noProof/>
        </w:rPr>
        <w:drawing>
          <wp:anchor distT="0" distB="0" distL="114300" distR="114300" simplePos="0" relativeHeight="251691008" behindDoc="1" locked="0" layoutInCell="0" allowOverlap="1" wp14:anchorId="39403831" wp14:editId="6FB87AA7">
            <wp:simplePos x="0" y="0"/>
            <wp:positionH relativeFrom="column">
              <wp:posOffset>4652010</wp:posOffset>
            </wp:positionH>
            <wp:positionV relativeFrom="paragraph">
              <wp:posOffset>-916940</wp:posOffset>
            </wp:positionV>
            <wp:extent cx="0" cy="95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sidR="0042270F">
        <w:rPr>
          <w:noProof/>
        </w:rPr>
        <w:drawing>
          <wp:anchor distT="0" distB="0" distL="114300" distR="114300" simplePos="0" relativeHeight="251692032" behindDoc="1" locked="0" layoutInCell="0" allowOverlap="1" wp14:anchorId="1346441E" wp14:editId="09AFF8A9">
            <wp:simplePos x="0" y="0"/>
            <wp:positionH relativeFrom="column">
              <wp:posOffset>4652010</wp:posOffset>
            </wp:positionH>
            <wp:positionV relativeFrom="paragraph">
              <wp:posOffset>-707390</wp:posOffset>
            </wp:positionV>
            <wp:extent cx="0" cy="95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sidR="0042270F">
        <w:rPr>
          <w:noProof/>
        </w:rPr>
        <w:drawing>
          <wp:anchor distT="0" distB="0" distL="114300" distR="114300" simplePos="0" relativeHeight="251693056" behindDoc="1" locked="0" layoutInCell="0" allowOverlap="1" wp14:anchorId="3EE322FE" wp14:editId="2AC23B92">
            <wp:simplePos x="0" y="0"/>
            <wp:positionH relativeFrom="column">
              <wp:posOffset>4652010</wp:posOffset>
            </wp:positionH>
            <wp:positionV relativeFrom="paragraph">
              <wp:posOffset>-497840</wp:posOffset>
            </wp:positionV>
            <wp:extent cx="0" cy="95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10" w:name="page13"/>
      <w:bookmarkEnd w:id="10"/>
    </w:p>
    <w:p w:rsidR="00421643" w:rsidRDefault="00421643" w:rsidP="00421643">
      <w:pPr>
        <w:widowControl w:val="0"/>
        <w:overflowPunct w:val="0"/>
        <w:autoSpaceDE w:val="0"/>
        <w:autoSpaceDN w:val="0"/>
        <w:adjustRightInd w:val="0"/>
        <w:spacing w:after="0" w:line="215" w:lineRule="auto"/>
        <w:ind w:right="460"/>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C35ED4" w:rsidRDefault="00C35ED4">
      <w:pPr>
        <w:widowControl w:val="0"/>
        <w:autoSpaceDE w:val="0"/>
        <w:autoSpaceDN w:val="0"/>
        <w:adjustRightInd w:val="0"/>
        <w:spacing w:after="0" w:line="314" w:lineRule="exact"/>
        <w:rPr>
          <w:rFonts w:ascii="Times New Roman" w:hAnsi="Times New Roman"/>
          <w:sz w:val="24"/>
          <w:szCs w:val="24"/>
        </w:rPr>
      </w:pPr>
    </w:p>
    <w:p w:rsidR="00C35ED4" w:rsidRDefault="006363F3">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proofErr w:type="spellStart"/>
      <w:r>
        <w:rPr>
          <w:rFonts w:ascii="Times New Roman" w:hAnsi="Times New Roman"/>
          <w:sz w:val="23"/>
          <w:szCs w:val="23"/>
        </w:rPr>
        <w:t>adquicison</w:t>
      </w:r>
      <w:proofErr w:type="spellEnd"/>
      <w:r>
        <w:rPr>
          <w:rFonts w:ascii="Times New Roman" w:hAnsi="Times New Roman"/>
          <w:sz w:val="23"/>
          <w:szCs w:val="23"/>
        </w:rPr>
        <w:t xml:space="preserve"> de activos</w:t>
      </w:r>
    </w:p>
    <w:p w:rsidR="00964C3D" w:rsidRDefault="00964C3D">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64C3D" w:rsidRDefault="00964C3D" w:rsidP="00964C3D">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(9) Cuentas y Comisione por pagar</w:t>
      </w:r>
    </w:p>
    <w:p w:rsidR="00964C3D" w:rsidRDefault="00964C3D">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64C3D" w:rsidRDefault="00964C3D">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w:t>
      </w:r>
      <w:r w:rsidR="00F13688">
        <w:rPr>
          <w:rFonts w:ascii="Times New Roman" w:hAnsi="Times New Roman"/>
          <w:sz w:val="24"/>
          <w:szCs w:val="24"/>
        </w:rPr>
        <w:t>las provisiones pendientes</w:t>
      </w:r>
      <w:r>
        <w:rPr>
          <w:rFonts w:ascii="Times New Roman" w:hAnsi="Times New Roman"/>
          <w:sz w:val="24"/>
          <w:szCs w:val="24"/>
        </w:rPr>
        <w:t xml:space="preserve"> de pagar:</w:t>
      </w:r>
    </w:p>
    <w:p w:rsidR="003E0E60" w:rsidRDefault="003E0E60">
      <w:pPr>
        <w:widowControl w:val="0"/>
        <w:overflowPunct w:val="0"/>
        <w:autoSpaceDE w:val="0"/>
        <w:autoSpaceDN w:val="0"/>
        <w:adjustRightInd w:val="0"/>
        <w:spacing w:after="0" w:line="215" w:lineRule="auto"/>
        <w:ind w:left="40" w:right="40"/>
        <w:jc w:val="both"/>
        <w:rPr>
          <w:rFonts w:ascii="Times New Roman" w:hAnsi="Times New Roman"/>
          <w:sz w:val="24"/>
          <w:szCs w:val="24"/>
        </w:rPr>
      </w:pPr>
    </w:p>
    <w:tbl>
      <w:tblPr>
        <w:tblW w:w="5612" w:type="dxa"/>
        <w:tblInd w:w="70" w:type="dxa"/>
        <w:tblCellMar>
          <w:left w:w="70" w:type="dxa"/>
          <w:right w:w="70" w:type="dxa"/>
        </w:tblCellMar>
        <w:tblLook w:val="04A0" w:firstRow="1" w:lastRow="0" w:firstColumn="1" w:lastColumn="0" w:noHBand="0" w:noVBand="1"/>
      </w:tblPr>
      <w:tblGrid>
        <w:gridCol w:w="185"/>
        <w:gridCol w:w="4283"/>
        <w:gridCol w:w="1256"/>
      </w:tblGrid>
      <w:tr w:rsidR="003E0E60" w:rsidRPr="00EB4327" w:rsidTr="00662363">
        <w:trPr>
          <w:trHeight w:val="300"/>
        </w:trPr>
        <w:tc>
          <w:tcPr>
            <w:tcW w:w="4356" w:type="dxa"/>
            <w:gridSpan w:val="2"/>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2040020 · Cuentas y Comisiones por Pagar</w:t>
            </w:r>
          </w:p>
        </w:tc>
        <w:tc>
          <w:tcPr>
            <w:tcW w:w="1256"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color w:val="323232"/>
                <w:sz w:val="16"/>
                <w:szCs w:val="16"/>
              </w:rPr>
            </w:pPr>
            <w:r w:rsidRPr="00EB4327">
              <w:rPr>
                <w:rFonts w:ascii="Arial" w:eastAsia="Times New Roman" w:hAnsi="Arial" w:cs="Arial"/>
                <w:color w:val="323232"/>
                <w:sz w:val="16"/>
                <w:szCs w:val="16"/>
              </w:rPr>
              <w:t> </w:t>
            </w:r>
          </w:p>
        </w:tc>
      </w:tr>
      <w:tr w:rsidR="003E0E60" w:rsidRPr="00EB4327" w:rsidTr="00662363">
        <w:trPr>
          <w:trHeight w:val="300"/>
        </w:trPr>
        <w:tc>
          <w:tcPr>
            <w:tcW w:w="7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 </w:t>
            </w:r>
          </w:p>
        </w:tc>
        <w:tc>
          <w:tcPr>
            <w:tcW w:w="428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Aguinaldo acumulado por pagar</w:t>
            </w:r>
          </w:p>
        </w:tc>
        <w:tc>
          <w:tcPr>
            <w:tcW w:w="1256"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jc w:val="right"/>
              <w:rPr>
                <w:rFonts w:ascii="Arial" w:eastAsia="Times New Roman" w:hAnsi="Arial" w:cs="Arial"/>
                <w:color w:val="323232"/>
                <w:sz w:val="16"/>
                <w:szCs w:val="16"/>
              </w:rPr>
            </w:pPr>
            <w:r w:rsidRPr="00EB4327">
              <w:rPr>
                <w:rFonts w:ascii="Arial" w:eastAsia="Times New Roman" w:hAnsi="Arial" w:cs="Arial"/>
                <w:color w:val="323232"/>
                <w:sz w:val="16"/>
                <w:szCs w:val="16"/>
              </w:rPr>
              <w:t>1.425.752,65</w:t>
            </w:r>
          </w:p>
        </w:tc>
      </w:tr>
      <w:tr w:rsidR="003E0E60" w:rsidRPr="00EB4327" w:rsidTr="00662363">
        <w:trPr>
          <w:trHeight w:val="300"/>
        </w:trPr>
        <w:tc>
          <w:tcPr>
            <w:tcW w:w="7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 </w:t>
            </w:r>
          </w:p>
        </w:tc>
        <w:tc>
          <w:tcPr>
            <w:tcW w:w="428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Aportaciones laborales retenida</w:t>
            </w:r>
          </w:p>
        </w:tc>
        <w:tc>
          <w:tcPr>
            <w:tcW w:w="1256"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jc w:val="right"/>
              <w:rPr>
                <w:rFonts w:ascii="Arial" w:eastAsia="Times New Roman" w:hAnsi="Arial" w:cs="Arial"/>
                <w:color w:val="323232"/>
                <w:sz w:val="16"/>
                <w:szCs w:val="16"/>
              </w:rPr>
            </w:pPr>
            <w:r w:rsidRPr="00EB4327">
              <w:rPr>
                <w:rFonts w:ascii="Arial" w:eastAsia="Times New Roman" w:hAnsi="Arial" w:cs="Arial"/>
                <w:color w:val="323232"/>
                <w:sz w:val="16"/>
                <w:szCs w:val="16"/>
              </w:rPr>
              <w:t>213.124,23</w:t>
            </w:r>
          </w:p>
        </w:tc>
      </w:tr>
      <w:tr w:rsidR="003E0E60" w:rsidRPr="00EB4327" w:rsidTr="00662363">
        <w:trPr>
          <w:trHeight w:val="300"/>
        </w:trPr>
        <w:tc>
          <w:tcPr>
            <w:tcW w:w="7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 </w:t>
            </w:r>
          </w:p>
        </w:tc>
        <w:tc>
          <w:tcPr>
            <w:tcW w:w="428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Aportes patronales por pagar</w:t>
            </w:r>
          </w:p>
        </w:tc>
        <w:tc>
          <w:tcPr>
            <w:tcW w:w="1256"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jc w:val="right"/>
              <w:rPr>
                <w:rFonts w:ascii="Arial" w:eastAsia="Times New Roman" w:hAnsi="Arial" w:cs="Arial"/>
                <w:color w:val="323232"/>
                <w:sz w:val="16"/>
                <w:szCs w:val="16"/>
              </w:rPr>
            </w:pPr>
            <w:r w:rsidRPr="00EB4327">
              <w:rPr>
                <w:rFonts w:ascii="Arial" w:eastAsia="Times New Roman" w:hAnsi="Arial" w:cs="Arial"/>
                <w:color w:val="323232"/>
                <w:sz w:val="16"/>
                <w:szCs w:val="16"/>
              </w:rPr>
              <w:t>600.809,52</w:t>
            </w:r>
          </w:p>
        </w:tc>
      </w:tr>
      <w:tr w:rsidR="003E0E60" w:rsidRPr="00EB4327" w:rsidTr="00662363">
        <w:trPr>
          <w:trHeight w:val="300"/>
        </w:trPr>
        <w:tc>
          <w:tcPr>
            <w:tcW w:w="7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 </w:t>
            </w:r>
          </w:p>
        </w:tc>
        <w:tc>
          <w:tcPr>
            <w:tcW w:w="428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Impuestos retenidos por pagar</w:t>
            </w:r>
          </w:p>
        </w:tc>
        <w:tc>
          <w:tcPr>
            <w:tcW w:w="1256"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jc w:val="right"/>
              <w:rPr>
                <w:rFonts w:ascii="Arial" w:eastAsia="Times New Roman" w:hAnsi="Arial" w:cs="Arial"/>
                <w:color w:val="323232"/>
                <w:sz w:val="16"/>
                <w:szCs w:val="16"/>
              </w:rPr>
            </w:pPr>
            <w:r w:rsidRPr="00EB4327">
              <w:rPr>
                <w:rFonts w:ascii="Arial" w:eastAsia="Times New Roman" w:hAnsi="Arial" w:cs="Arial"/>
                <w:color w:val="323232"/>
                <w:sz w:val="16"/>
                <w:szCs w:val="16"/>
              </w:rPr>
              <w:t>61.152,07</w:t>
            </w:r>
          </w:p>
        </w:tc>
      </w:tr>
      <w:tr w:rsidR="003E0E60" w:rsidRPr="00EB4327" w:rsidTr="00662363">
        <w:trPr>
          <w:trHeight w:val="315"/>
        </w:trPr>
        <w:tc>
          <w:tcPr>
            <w:tcW w:w="7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 </w:t>
            </w:r>
          </w:p>
        </w:tc>
        <w:tc>
          <w:tcPr>
            <w:tcW w:w="4283"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Vacaciones acumuladas por pagar</w:t>
            </w:r>
          </w:p>
        </w:tc>
        <w:tc>
          <w:tcPr>
            <w:tcW w:w="1256" w:type="dxa"/>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jc w:val="right"/>
              <w:rPr>
                <w:rFonts w:ascii="Arial" w:eastAsia="Times New Roman" w:hAnsi="Arial" w:cs="Arial"/>
                <w:color w:val="323232"/>
                <w:sz w:val="16"/>
                <w:szCs w:val="16"/>
              </w:rPr>
            </w:pPr>
            <w:r w:rsidRPr="00EB4327">
              <w:rPr>
                <w:rFonts w:ascii="Arial" w:eastAsia="Times New Roman" w:hAnsi="Arial" w:cs="Arial"/>
                <w:color w:val="323232"/>
                <w:sz w:val="16"/>
                <w:szCs w:val="16"/>
              </w:rPr>
              <w:t>647.290,42</w:t>
            </w:r>
          </w:p>
        </w:tc>
      </w:tr>
      <w:tr w:rsidR="003E0E60" w:rsidRPr="00EB4327" w:rsidTr="00662363">
        <w:trPr>
          <w:trHeight w:val="315"/>
        </w:trPr>
        <w:tc>
          <w:tcPr>
            <w:tcW w:w="4356" w:type="dxa"/>
            <w:gridSpan w:val="2"/>
            <w:tcBorders>
              <w:top w:val="nil"/>
              <w:left w:val="nil"/>
              <w:bottom w:val="nil"/>
              <w:right w:val="nil"/>
            </w:tcBorders>
            <w:shd w:val="clear" w:color="000000" w:fill="FFFFFF"/>
            <w:noWrap/>
            <w:vAlign w:val="bottom"/>
            <w:hideMark/>
          </w:tcPr>
          <w:p w:rsidR="003E0E60" w:rsidRPr="00EB4327" w:rsidRDefault="003E0E60" w:rsidP="00662363">
            <w:pPr>
              <w:spacing w:after="0" w:line="240" w:lineRule="auto"/>
              <w:rPr>
                <w:rFonts w:ascii="Arial" w:eastAsia="Times New Roman" w:hAnsi="Arial" w:cs="Arial"/>
                <w:b/>
                <w:bCs/>
                <w:color w:val="323232"/>
                <w:sz w:val="16"/>
                <w:szCs w:val="16"/>
              </w:rPr>
            </w:pPr>
            <w:r w:rsidRPr="00EB4327">
              <w:rPr>
                <w:rFonts w:ascii="Arial" w:eastAsia="Times New Roman" w:hAnsi="Arial" w:cs="Arial"/>
                <w:b/>
                <w:bCs/>
                <w:color w:val="323232"/>
                <w:sz w:val="16"/>
                <w:szCs w:val="16"/>
              </w:rPr>
              <w:t>Total 2040020 · Cuentas y Comisiones por Pagar</w:t>
            </w:r>
          </w:p>
        </w:tc>
        <w:tc>
          <w:tcPr>
            <w:tcW w:w="1256" w:type="dxa"/>
            <w:tcBorders>
              <w:top w:val="single" w:sz="8" w:space="0" w:color="auto"/>
              <w:left w:val="nil"/>
              <w:bottom w:val="nil"/>
              <w:right w:val="nil"/>
            </w:tcBorders>
            <w:shd w:val="clear" w:color="000000" w:fill="FFFFFF"/>
            <w:noWrap/>
            <w:vAlign w:val="bottom"/>
            <w:hideMark/>
          </w:tcPr>
          <w:p w:rsidR="003E0E60" w:rsidRPr="00EB4327" w:rsidRDefault="003E0E60" w:rsidP="00662363">
            <w:pPr>
              <w:spacing w:after="0" w:line="240" w:lineRule="auto"/>
              <w:jc w:val="right"/>
              <w:rPr>
                <w:rFonts w:ascii="Arial" w:eastAsia="Times New Roman" w:hAnsi="Arial" w:cs="Arial"/>
                <w:color w:val="323232"/>
                <w:sz w:val="16"/>
                <w:szCs w:val="16"/>
              </w:rPr>
            </w:pPr>
            <w:r w:rsidRPr="00EB4327">
              <w:rPr>
                <w:rFonts w:ascii="Arial" w:eastAsia="Times New Roman" w:hAnsi="Arial" w:cs="Arial"/>
                <w:color w:val="323232"/>
                <w:sz w:val="16"/>
                <w:szCs w:val="16"/>
              </w:rPr>
              <w:t>2.948.128,89</w:t>
            </w:r>
          </w:p>
        </w:tc>
      </w:tr>
    </w:tbl>
    <w:p w:rsidR="003E0E60" w:rsidRDefault="003E0E60">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64C3D" w:rsidRDefault="00964C3D">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C35ED4" w:rsidRDefault="00964C3D">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(10</w:t>
      </w:r>
      <w:r w:rsidR="00C35ED4">
        <w:rPr>
          <w:rFonts w:ascii="Times New Roman" w:hAnsi="Times New Roman"/>
          <w:b/>
          <w:bCs/>
          <w:sz w:val="23"/>
          <w:szCs w:val="23"/>
        </w:rPr>
        <w:t>) Capital acciones</w:t>
      </w:r>
    </w:p>
    <w:p w:rsidR="00C35ED4" w:rsidRDefault="00C35ED4">
      <w:pPr>
        <w:widowControl w:val="0"/>
        <w:autoSpaceDE w:val="0"/>
        <w:autoSpaceDN w:val="0"/>
        <w:adjustRightInd w:val="0"/>
        <w:spacing w:after="0" w:line="314"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31 de </w:t>
      </w:r>
      <w:r w:rsidR="00972FF3">
        <w:rPr>
          <w:rFonts w:ascii="Times New Roman" w:hAnsi="Times New Roman"/>
          <w:sz w:val="23"/>
          <w:szCs w:val="23"/>
        </w:rPr>
        <w:t>diciembre de 201</w:t>
      </w:r>
      <w:r w:rsidR="003E0E60">
        <w:rPr>
          <w:rFonts w:ascii="Times New Roman" w:hAnsi="Times New Roman"/>
          <w:sz w:val="23"/>
          <w:szCs w:val="23"/>
        </w:rPr>
        <w:t>4</w:t>
      </w:r>
      <w:r>
        <w:rPr>
          <w:rFonts w:ascii="Times New Roman" w:hAnsi="Times New Roman"/>
          <w:sz w:val="23"/>
          <w:szCs w:val="23"/>
        </w:rPr>
        <w:t>, es de ¢60.000.000,00 y está representado, por 60 millones de acciones comunes y nominativas, con un valor nominal de ¢1,00 cada una.</w:t>
      </w:r>
    </w:p>
    <w:p w:rsidR="00C35ED4" w:rsidRDefault="00C35ED4">
      <w:pPr>
        <w:widowControl w:val="0"/>
        <w:autoSpaceDE w:val="0"/>
        <w:autoSpaceDN w:val="0"/>
        <w:adjustRightInd w:val="0"/>
        <w:spacing w:after="0" w:line="200" w:lineRule="exact"/>
        <w:rPr>
          <w:rFonts w:ascii="Times New Roman" w:hAnsi="Times New Roman"/>
          <w:sz w:val="24"/>
          <w:szCs w:val="24"/>
        </w:rPr>
      </w:pPr>
    </w:p>
    <w:p w:rsidR="00421643" w:rsidRDefault="00421643">
      <w:pPr>
        <w:widowControl w:val="0"/>
        <w:autoSpaceDE w:val="0"/>
        <w:autoSpaceDN w:val="0"/>
        <w:adjustRightInd w:val="0"/>
        <w:spacing w:after="0" w:line="200" w:lineRule="exact"/>
        <w:rPr>
          <w:rFonts w:ascii="Times New Roman" w:hAnsi="Times New Roman"/>
          <w:sz w:val="24"/>
          <w:szCs w:val="24"/>
        </w:rPr>
      </w:pPr>
    </w:p>
    <w:p w:rsidR="00421643" w:rsidRDefault="00421643" w:rsidP="00421643">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w:t>
      </w:r>
      <w:r w:rsidR="00964C3D">
        <w:rPr>
          <w:rFonts w:ascii="Times New Roman" w:hAnsi="Times New Roman"/>
          <w:b/>
          <w:bCs/>
          <w:sz w:val="23"/>
          <w:szCs w:val="23"/>
        </w:rPr>
        <w:t>11</w:t>
      </w:r>
      <w:r>
        <w:rPr>
          <w:rFonts w:ascii="Times New Roman" w:hAnsi="Times New Roman"/>
          <w:b/>
          <w:bCs/>
          <w:sz w:val="23"/>
          <w:szCs w:val="23"/>
        </w:rPr>
        <w:t>) Ingresos por comisiones de Servicios</w:t>
      </w:r>
    </w:p>
    <w:p w:rsidR="00421643" w:rsidRDefault="00421643" w:rsidP="00421643">
      <w:pPr>
        <w:widowControl w:val="0"/>
        <w:autoSpaceDE w:val="0"/>
        <w:autoSpaceDN w:val="0"/>
        <w:adjustRightInd w:val="0"/>
        <w:spacing w:after="0" w:line="314" w:lineRule="exact"/>
        <w:rPr>
          <w:rFonts w:ascii="Times New Roman" w:hAnsi="Times New Roman"/>
          <w:sz w:val="24"/>
          <w:szCs w:val="24"/>
        </w:rPr>
      </w:pPr>
    </w:p>
    <w:p w:rsidR="00964C3D" w:rsidRDefault="00421643" w:rsidP="00964C3D">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w:t>
      </w:r>
      <w:r w:rsidR="00964C3D">
        <w:rPr>
          <w:rFonts w:ascii="Times New Roman" w:hAnsi="Times New Roman"/>
          <w:sz w:val="23"/>
          <w:szCs w:val="23"/>
        </w:rPr>
        <w:t>al</w:t>
      </w:r>
      <w:r w:rsidR="003E0E60">
        <w:rPr>
          <w:rFonts w:ascii="Times New Roman" w:hAnsi="Times New Roman"/>
          <w:sz w:val="23"/>
          <w:szCs w:val="23"/>
        </w:rPr>
        <w:t xml:space="preserve"> </w:t>
      </w:r>
      <w:r w:rsidR="00964C3D">
        <w:rPr>
          <w:rFonts w:ascii="Times New Roman" w:hAnsi="Times New Roman"/>
          <w:sz w:val="23"/>
          <w:szCs w:val="23"/>
        </w:rPr>
        <w:t xml:space="preserve">30 de </w:t>
      </w:r>
      <w:r w:rsidR="003E0E60">
        <w:rPr>
          <w:rFonts w:ascii="Times New Roman" w:hAnsi="Times New Roman"/>
          <w:sz w:val="23"/>
          <w:szCs w:val="23"/>
        </w:rPr>
        <w:t>setiembre</w:t>
      </w:r>
      <w:r w:rsidR="00964C3D">
        <w:rPr>
          <w:rFonts w:ascii="Times New Roman" w:hAnsi="Times New Roman"/>
          <w:sz w:val="23"/>
          <w:szCs w:val="23"/>
        </w:rPr>
        <w:t xml:space="preserve"> del 2015 se percibieron ingresos por un monto de total de </w:t>
      </w:r>
      <w:r w:rsidR="003E0E60">
        <w:rPr>
          <w:rFonts w:ascii="Times New Roman" w:hAnsi="Times New Roman"/>
          <w:sz w:val="23"/>
          <w:szCs w:val="23"/>
        </w:rPr>
        <w:t xml:space="preserve">¢16.222.317,28 </w:t>
      </w:r>
      <w:proofErr w:type="spellStart"/>
      <w:r w:rsidR="00964C3D">
        <w:rPr>
          <w:rFonts w:ascii="Times New Roman" w:hAnsi="Times New Roman"/>
          <w:sz w:val="23"/>
          <w:szCs w:val="23"/>
        </w:rPr>
        <w:t>correspondente</w:t>
      </w:r>
      <w:proofErr w:type="spellEnd"/>
      <w:r w:rsidR="00964C3D">
        <w:rPr>
          <w:rFonts w:ascii="Times New Roman" w:hAnsi="Times New Roman"/>
          <w:sz w:val="23"/>
          <w:szCs w:val="23"/>
        </w:rPr>
        <w:t xml:space="preserve"> a la comisión por la intermediación de los productos de las diferentes compañías de seguros de conformidad a los lineamientos establecidos con cada aseguradora.</w:t>
      </w:r>
    </w:p>
    <w:p w:rsidR="00964C3D" w:rsidRDefault="00964C3D" w:rsidP="00964C3D">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64C3D" w:rsidRPr="00964C3D" w:rsidRDefault="00421643" w:rsidP="00964C3D">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sidR="00964C3D">
        <w:rPr>
          <w:rFonts w:ascii="Times New Roman" w:hAnsi="Times New Roman"/>
          <w:b/>
          <w:bCs/>
          <w:sz w:val="23"/>
          <w:szCs w:val="23"/>
        </w:rPr>
        <w:t xml:space="preserve">(12) </w:t>
      </w:r>
      <w:r w:rsidR="000F3B8E">
        <w:rPr>
          <w:rFonts w:ascii="Times New Roman" w:hAnsi="Times New Roman"/>
          <w:b/>
          <w:bCs/>
          <w:sz w:val="23"/>
          <w:szCs w:val="23"/>
        </w:rPr>
        <w:t>Gastos financieros en entidades no financieras</w:t>
      </w:r>
    </w:p>
    <w:p w:rsidR="00AD0759" w:rsidRDefault="00AD0759"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0F3B8E" w:rsidRDefault="00CF4382"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sidR="000F3B8E">
        <w:rPr>
          <w:rFonts w:ascii="Times New Roman" w:hAnsi="Times New Roman"/>
          <w:sz w:val="24"/>
          <w:szCs w:val="24"/>
        </w:rPr>
        <w:t>.</w:t>
      </w:r>
    </w:p>
    <w:p w:rsidR="000F3B8E" w:rsidRDefault="000F3B8E"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0F3B8E" w:rsidRPr="00964C3D" w:rsidRDefault="000F3B8E" w:rsidP="000F3B8E">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0F3B8E" w:rsidRDefault="000F3B8E"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0F3B8E" w:rsidRDefault="00CF4382"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 xml:space="preserve">los gastos originados por el diferencial de las posiciones en instrumentos financieros </w:t>
      </w:r>
      <w:r w:rsidRPr="00EA3D2D">
        <w:rPr>
          <w:rFonts w:ascii="Cambria" w:hAnsi="Cambria" w:cs="Arial"/>
        </w:rPr>
        <w:lastRenderedPageBreak/>
        <w:t>derivados</w:t>
      </w:r>
    </w:p>
    <w:p w:rsidR="000F3B8E" w:rsidRDefault="000F3B8E"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AD0759" w:rsidRPr="00964C3D" w:rsidRDefault="00AD0759" w:rsidP="00AD0759">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w:t>
      </w:r>
      <w:r w:rsidR="000F3B8E">
        <w:rPr>
          <w:rFonts w:ascii="Times New Roman" w:hAnsi="Times New Roman"/>
          <w:b/>
          <w:bCs/>
          <w:sz w:val="23"/>
          <w:szCs w:val="23"/>
        </w:rPr>
        <w:t>4</w:t>
      </w:r>
      <w:r>
        <w:rPr>
          <w:rFonts w:ascii="Times New Roman" w:hAnsi="Times New Roman"/>
          <w:b/>
          <w:bCs/>
          <w:sz w:val="23"/>
          <w:szCs w:val="23"/>
        </w:rPr>
        <w:t xml:space="preserve">) </w:t>
      </w:r>
      <w:r w:rsidR="000F3B8E">
        <w:rPr>
          <w:rFonts w:ascii="Times New Roman" w:hAnsi="Times New Roman"/>
          <w:b/>
          <w:bCs/>
          <w:sz w:val="23"/>
          <w:szCs w:val="23"/>
        </w:rPr>
        <w:t>Comisiones por Servicios</w:t>
      </w:r>
    </w:p>
    <w:p w:rsidR="00AD0759" w:rsidRDefault="00AD0759" w:rsidP="00AD0759">
      <w:pPr>
        <w:widowControl w:val="0"/>
        <w:autoSpaceDE w:val="0"/>
        <w:autoSpaceDN w:val="0"/>
        <w:adjustRightInd w:val="0"/>
        <w:spacing w:after="0" w:line="314" w:lineRule="exact"/>
        <w:rPr>
          <w:rFonts w:ascii="Times New Roman" w:hAnsi="Times New Roman"/>
          <w:sz w:val="24"/>
          <w:szCs w:val="24"/>
        </w:rPr>
      </w:pPr>
    </w:p>
    <w:p w:rsidR="00CF4382" w:rsidRPr="00EA3D2D" w:rsidRDefault="00CF4382" w:rsidP="00CF4382">
      <w:pPr>
        <w:widowControl w:val="0"/>
        <w:jc w:val="both"/>
        <w:rPr>
          <w:rFonts w:ascii="Cambria" w:hAnsi="Cambria" w:cs="Arial"/>
        </w:rPr>
      </w:pPr>
      <w:bookmarkStart w:id="11" w:name="OLE_LINK35"/>
      <w:bookmarkStart w:id="12" w:name="OLE_LINK36"/>
      <w:bookmarkStart w:id="13"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CF4382" w:rsidRDefault="00CF4382" w:rsidP="00CF4382">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bookmarkEnd w:id="11"/>
    <w:bookmarkEnd w:id="12"/>
    <w:bookmarkEnd w:id="13"/>
    <w:p w:rsidR="00AD0759" w:rsidRDefault="00AD0759"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0F3B8E" w:rsidRDefault="000F3B8E" w:rsidP="000F3B8E">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rsidR="00CF4382" w:rsidRDefault="00CF4382" w:rsidP="000F3B8E">
      <w:pPr>
        <w:widowControl w:val="0"/>
        <w:autoSpaceDE w:val="0"/>
        <w:autoSpaceDN w:val="0"/>
        <w:adjustRightInd w:val="0"/>
        <w:spacing w:after="0" w:line="239" w:lineRule="auto"/>
        <w:ind w:left="40"/>
        <w:rPr>
          <w:rFonts w:ascii="Times New Roman" w:hAnsi="Times New Roman"/>
          <w:sz w:val="24"/>
          <w:szCs w:val="24"/>
        </w:rPr>
      </w:pPr>
    </w:p>
    <w:p w:rsidR="00326183" w:rsidRDefault="00326183" w:rsidP="00326183">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0F3B8E" w:rsidRDefault="000F3B8E" w:rsidP="00964C3D">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CF4382" w:rsidRDefault="00CF4382" w:rsidP="00CF4382">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rsidR="00421643" w:rsidRDefault="00421643">
      <w:pPr>
        <w:widowControl w:val="0"/>
        <w:autoSpaceDE w:val="0"/>
        <w:autoSpaceDN w:val="0"/>
        <w:adjustRightInd w:val="0"/>
        <w:spacing w:after="0" w:line="200" w:lineRule="exact"/>
        <w:rPr>
          <w:rFonts w:ascii="Times New Roman" w:hAnsi="Times New Roman"/>
          <w:sz w:val="24"/>
          <w:szCs w:val="24"/>
        </w:rPr>
      </w:pPr>
    </w:p>
    <w:p w:rsidR="00CF4382" w:rsidRDefault="00CF4382" w:rsidP="00CF4382">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p w:rsidR="00F723E5" w:rsidRPr="00EA3D2D" w:rsidRDefault="003E0E60" w:rsidP="00CF4382">
      <w:pPr>
        <w:widowControl w:val="0"/>
        <w:jc w:val="both"/>
        <w:rPr>
          <w:rFonts w:ascii="Cambria" w:hAnsi="Cambria" w:cs="Arial"/>
        </w:rPr>
      </w:pPr>
      <w:r w:rsidRPr="000A0DAC">
        <w:rPr>
          <w:noProof/>
        </w:rPr>
        <w:drawing>
          <wp:inline distT="0" distB="0" distL="0" distR="0" wp14:anchorId="608F8EF9" wp14:editId="7E6CC0E4">
            <wp:extent cx="3505200" cy="781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781050"/>
                    </a:xfrm>
                    <a:prstGeom prst="rect">
                      <a:avLst/>
                    </a:prstGeom>
                    <a:noFill/>
                    <a:ln>
                      <a:noFill/>
                    </a:ln>
                  </pic:spPr>
                </pic:pic>
              </a:graphicData>
            </a:graphic>
          </wp:inline>
        </w:drawing>
      </w:r>
    </w:p>
    <w:p w:rsidR="00CF4382" w:rsidRDefault="00CF4382">
      <w:pPr>
        <w:widowControl w:val="0"/>
        <w:autoSpaceDE w:val="0"/>
        <w:autoSpaceDN w:val="0"/>
        <w:adjustRightInd w:val="0"/>
        <w:spacing w:after="0" w:line="200" w:lineRule="exact"/>
        <w:rPr>
          <w:rFonts w:ascii="Times New Roman" w:hAnsi="Times New Roman"/>
          <w:sz w:val="24"/>
          <w:szCs w:val="24"/>
        </w:rPr>
      </w:pPr>
    </w:p>
    <w:p w:rsidR="00022B9A" w:rsidRDefault="00022B9A" w:rsidP="00022B9A">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022B9A" w:rsidRDefault="00022B9A" w:rsidP="00022B9A">
      <w:pPr>
        <w:widowControl w:val="0"/>
        <w:autoSpaceDE w:val="0"/>
        <w:autoSpaceDN w:val="0"/>
        <w:adjustRightInd w:val="0"/>
        <w:spacing w:after="0" w:line="200" w:lineRule="exact"/>
        <w:rPr>
          <w:rFonts w:ascii="Times New Roman" w:hAnsi="Times New Roman"/>
          <w:sz w:val="24"/>
          <w:szCs w:val="24"/>
        </w:rPr>
      </w:pPr>
    </w:p>
    <w:p w:rsidR="00022B9A" w:rsidRDefault="00022B9A" w:rsidP="00022B9A">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3E0E60" w:rsidRDefault="003E0E60" w:rsidP="00022B9A">
      <w:pPr>
        <w:widowControl w:val="0"/>
        <w:jc w:val="both"/>
        <w:rPr>
          <w:rFonts w:ascii="Cambria" w:hAnsi="Cambria" w:cs="Arial"/>
        </w:rPr>
      </w:pPr>
      <w:r w:rsidRPr="000A0DAC">
        <w:rPr>
          <w:noProof/>
        </w:rPr>
        <w:lastRenderedPageBreak/>
        <w:drawing>
          <wp:inline distT="0" distB="0" distL="0" distR="0" wp14:anchorId="6D949E72" wp14:editId="798F6F7A">
            <wp:extent cx="3505200" cy="19240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1924050"/>
                    </a:xfrm>
                    <a:prstGeom prst="rect">
                      <a:avLst/>
                    </a:prstGeom>
                    <a:noFill/>
                    <a:ln>
                      <a:noFill/>
                    </a:ln>
                  </pic:spPr>
                </pic:pic>
              </a:graphicData>
            </a:graphic>
          </wp:inline>
        </w:drawing>
      </w:r>
    </w:p>
    <w:p w:rsidR="003E0E60" w:rsidRDefault="003E0E60" w:rsidP="00022B9A">
      <w:pPr>
        <w:widowControl w:val="0"/>
        <w:jc w:val="both"/>
        <w:rPr>
          <w:rFonts w:ascii="Cambria" w:hAnsi="Cambria" w:cs="Arial"/>
        </w:rPr>
      </w:pPr>
    </w:p>
    <w:p w:rsidR="00022B9A" w:rsidRDefault="00022B9A" w:rsidP="00022B9A">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022B9A" w:rsidRDefault="00022B9A" w:rsidP="00022B9A">
      <w:pPr>
        <w:widowControl w:val="0"/>
        <w:autoSpaceDE w:val="0"/>
        <w:autoSpaceDN w:val="0"/>
        <w:adjustRightInd w:val="0"/>
        <w:spacing w:after="0" w:line="200" w:lineRule="exact"/>
        <w:rPr>
          <w:rFonts w:ascii="Times New Roman" w:hAnsi="Times New Roman"/>
          <w:sz w:val="24"/>
          <w:szCs w:val="24"/>
        </w:rPr>
      </w:pPr>
    </w:p>
    <w:p w:rsidR="00022B9A" w:rsidRDefault="00022B9A" w:rsidP="00022B9A">
      <w:pPr>
        <w:widowControl w:val="0"/>
        <w:jc w:val="both"/>
        <w:rPr>
          <w:rFonts w:ascii="Cambria" w:hAnsi="Cambria" w:cs="Arial"/>
        </w:rPr>
      </w:pPr>
      <w:r w:rsidRPr="00EA3D2D">
        <w:rPr>
          <w:rFonts w:ascii="Cambria" w:hAnsi="Cambria" w:cs="Arial"/>
        </w:rPr>
        <w:t>En esta cuenta se registran los gastos devengados en el período por concepto de la contratación de servicios externos brindados por empresas o por profesionales sin relación de dependencia con la entidad.  No se incluyen en esta cuenta los gastos por comisiones por servicios recibidos de otras entidades.</w:t>
      </w:r>
    </w:p>
    <w:tbl>
      <w:tblPr>
        <w:tblW w:w="5552" w:type="dxa"/>
        <w:tblInd w:w="70" w:type="dxa"/>
        <w:tblCellMar>
          <w:left w:w="70" w:type="dxa"/>
          <w:right w:w="70" w:type="dxa"/>
        </w:tblCellMar>
        <w:tblLook w:val="04A0" w:firstRow="1" w:lastRow="0" w:firstColumn="1" w:lastColumn="0" w:noHBand="0" w:noVBand="1"/>
      </w:tblPr>
      <w:tblGrid>
        <w:gridCol w:w="185"/>
        <w:gridCol w:w="4257"/>
        <w:gridCol w:w="1216"/>
      </w:tblGrid>
      <w:tr w:rsidR="003E0E60" w:rsidRPr="00BC2C8D" w:rsidTr="00662363">
        <w:trPr>
          <w:trHeight w:val="300"/>
        </w:trPr>
        <w:tc>
          <w:tcPr>
            <w:tcW w:w="4336" w:type="dxa"/>
            <w:gridSpan w:val="2"/>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4070020 · Gas por Serv. Externos no técni</w:t>
            </w:r>
            <w:r>
              <w:rPr>
                <w:rFonts w:ascii="Arial" w:eastAsia="Times New Roman" w:hAnsi="Arial" w:cs="Arial"/>
                <w:b/>
                <w:bCs/>
                <w:color w:val="323232"/>
                <w:sz w:val="16"/>
                <w:szCs w:val="16"/>
              </w:rPr>
              <w:t>cos</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color w:val="323232"/>
                <w:sz w:val="16"/>
                <w:szCs w:val="16"/>
              </w:rPr>
            </w:pPr>
            <w:r w:rsidRPr="00BC2C8D">
              <w:rPr>
                <w:rFonts w:ascii="Arial" w:eastAsia="Times New Roman" w:hAnsi="Arial" w:cs="Arial"/>
                <w:color w:val="323232"/>
                <w:sz w:val="16"/>
                <w:szCs w:val="16"/>
              </w:rPr>
              <w:t> </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Asesoría en Recursos humanos</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2.499.522,50</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Auditoria Externa</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396.000,00</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Auditoria Interna</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1.188.335,00</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Mensajería</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655.650,00</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Otros servicios contratados</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5.492.691,24</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Servicios contables</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1.700.372,00</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Servicios de computación</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1.511.410,00</w:t>
            </w:r>
          </w:p>
        </w:tc>
      </w:tr>
      <w:tr w:rsidR="003E0E60" w:rsidRPr="00BC2C8D" w:rsidTr="00662363">
        <w:trPr>
          <w:trHeight w:val="300"/>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Servicios de gestión de riesgos</w:t>
            </w:r>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238.610,00</w:t>
            </w:r>
          </w:p>
        </w:tc>
      </w:tr>
      <w:tr w:rsidR="003E0E60" w:rsidRPr="00BC2C8D" w:rsidTr="00662363">
        <w:trPr>
          <w:trHeight w:val="315"/>
        </w:trPr>
        <w:tc>
          <w:tcPr>
            <w:tcW w:w="79"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w:t>
            </w:r>
          </w:p>
        </w:tc>
        <w:tc>
          <w:tcPr>
            <w:tcW w:w="4257"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Servicios de limpieza</w:t>
            </w:r>
          </w:p>
        </w:tc>
        <w:tc>
          <w:tcPr>
            <w:tcW w:w="1216" w:type="dxa"/>
            <w:tcBorders>
              <w:top w:val="nil"/>
              <w:left w:val="nil"/>
              <w:bottom w:val="single" w:sz="8" w:space="0" w:color="auto"/>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445.000,00</w:t>
            </w:r>
          </w:p>
        </w:tc>
      </w:tr>
      <w:tr w:rsidR="003E0E60" w:rsidRPr="00BC2C8D" w:rsidTr="00662363">
        <w:trPr>
          <w:trHeight w:val="300"/>
        </w:trPr>
        <w:tc>
          <w:tcPr>
            <w:tcW w:w="4336" w:type="dxa"/>
            <w:gridSpan w:val="2"/>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rPr>
                <w:rFonts w:ascii="Arial" w:eastAsia="Times New Roman" w:hAnsi="Arial" w:cs="Arial"/>
                <w:b/>
                <w:bCs/>
                <w:color w:val="323232"/>
                <w:sz w:val="16"/>
                <w:szCs w:val="16"/>
              </w:rPr>
            </w:pPr>
            <w:r w:rsidRPr="00BC2C8D">
              <w:rPr>
                <w:rFonts w:ascii="Arial" w:eastAsia="Times New Roman" w:hAnsi="Arial" w:cs="Arial"/>
                <w:b/>
                <w:bCs/>
                <w:color w:val="323232"/>
                <w:sz w:val="16"/>
                <w:szCs w:val="16"/>
              </w:rPr>
              <w:t xml:space="preserve">Total 4070020 · Gas por Serv. Externos no </w:t>
            </w:r>
            <w:proofErr w:type="spellStart"/>
            <w:r w:rsidRPr="00BC2C8D">
              <w:rPr>
                <w:rFonts w:ascii="Arial" w:eastAsia="Times New Roman" w:hAnsi="Arial" w:cs="Arial"/>
                <w:b/>
                <w:bCs/>
                <w:color w:val="323232"/>
                <w:sz w:val="16"/>
                <w:szCs w:val="16"/>
              </w:rPr>
              <w:t>tecni</w:t>
            </w:r>
            <w:proofErr w:type="spellEnd"/>
          </w:p>
        </w:tc>
        <w:tc>
          <w:tcPr>
            <w:tcW w:w="1216" w:type="dxa"/>
            <w:tcBorders>
              <w:top w:val="nil"/>
              <w:left w:val="nil"/>
              <w:bottom w:val="nil"/>
              <w:right w:val="nil"/>
            </w:tcBorders>
            <w:shd w:val="clear" w:color="000000" w:fill="FFFFFF"/>
            <w:noWrap/>
            <w:vAlign w:val="bottom"/>
            <w:hideMark/>
          </w:tcPr>
          <w:p w:rsidR="003E0E60" w:rsidRPr="00BC2C8D" w:rsidRDefault="003E0E60" w:rsidP="00662363">
            <w:pPr>
              <w:spacing w:after="0" w:line="240" w:lineRule="auto"/>
              <w:jc w:val="right"/>
              <w:rPr>
                <w:rFonts w:ascii="Arial" w:eastAsia="Times New Roman" w:hAnsi="Arial" w:cs="Arial"/>
                <w:color w:val="323232"/>
                <w:sz w:val="16"/>
                <w:szCs w:val="16"/>
              </w:rPr>
            </w:pPr>
            <w:r w:rsidRPr="00BC2C8D">
              <w:rPr>
                <w:rFonts w:ascii="Arial" w:eastAsia="Times New Roman" w:hAnsi="Arial" w:cs="Arial"/>
                <w:color w:val="323232"/>
                <w:sz w:val="16"/>
                <w:szCs w:val="16"/>
              </w:rPr>
              <w:t>14.127.590,74</w:t>
            </w:r>
          </w:p>
        </w:tc>
      </w:tr>
    </w:tbl>
    <w:p w:rsidR="00F723E5" w:rsidRPr="00EA3D2D" w:rsidRDefault="00F723E5" w:rsidP="00022B9A">
      <w:pPr>
        <w:widowControl w:val="0"/>
        <w:jc w:val="both"/>
        <w:rPr>
          <w:rFonts w:ascii="Cambria" w:hAnsi="Cambria" w:cs="Arial"/>
        </w:rPr>
      </w:pPr>
    </w:p>
    <w:p w:rsidR="00022B9A" w:rsidRDefault="00022B9A" w:rsidP="00022B9A">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022B9A" w:rsidRDefault="00022B9A" w:rsidP="00022B9A">
      <w:pPr>
        <w:widowControl w:val="0"/>
        <w:autoSpaceDE w:val="0"/>
        <w:autoSpaceDN w:val="0"/>
        <w:adjustRightInd w:val="0"/>
        <w:spacing w:after="0" w:line="200" w:lineRule="exact"/>
        <w:rPr>
          <w:rFonts w:ascii="Times New Roman" w:hAnsi="Times New Roman"/>
          <w:sz w:val="24"/>
          <w:szCs w:val="24"/>
        </w:rPr>
      </w:pPr>
    </w:p>
    <w:p w:rsidR="00022B9A" w:rsidRPr="00EA3D2D" w:rsidRDefault="00022B9A" w:rsidP="00022B9A">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F723E5" w:rsidRDefault="00F723E5" w:rsidP="00210571">
      <w:pPr>
        <w:widowControl w:val="0"/>
        <w:autoSpaceDE w:val="0"/>
        <w:autoSpaceDN w:val="0"/>
        <w:adjustRightInd w:val="0"/>
        <w:spacing w:after="0" w:line="239" w:lineRule="auto"/>
        <w:ind w:left="40"/>
        <w:rPr>
          <w:rFonts w:ascii="Times New Roman" w:hAnsi="Times New Roman"/>
          <w:b/>
          <w:bCs/>
          <w:sz w:val="23"/>
          <w:szCs w:val="23"/>
        </w:rPr>
      </w:pPr>
    </w:p>
    <w:p w:rsidR="00210571" w:rsidRDefault="00210571" w:rsidP="00210571">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(20) Gastos de infraestructura </w:t>
      </w:r>
      <w:r w:rsidR="00BB6383">
        <w:rPr>
          <w:rFonts w:ascii="Times New Roman" w:hAnsi="Times New Roman"/>
          <w:b/>
          <w:bCs/>
          <w:sz w:val="23"/>
          <w:szCs w:val="23"/>
        </w:rPr>
        <w:t>no</w:t>
      </w:r>
      <w:r>
        <w:rPr>
          <w:rFonts w:ascii="Times New Roman" w:hAnsi="Times New Roman"/>
          <w:b/>
          <w:bCs/>
          <w:sz w:val="23"/>
          <w:szCs w:val="23"/>
        </w:rPr>
        <w:t xml:space="preserve"> Técnicos</w:t>
      </w:r>
    </w:p>
    <w:p w:rsidR="00210571" w:rsidRDefault="00210571" w:rsidP="00210571">
      <w:pPr>
        <w:widowControl w:val="0"/>
        <w:autoSpaceDE w:val="0"/>
        <w:autoSpaceDN w:val="0"/>
        <w:adjustRightInd w:val="0"/>
        <w:spacing w:after="0" w:line="200" w:lineRule="exact"/>
        <w:rPr>
          <w:rFonts w:ascii="Times New Roman" w:hAnsi="Times New Roman"/>
          <w:sz w:val="24"/>
          <w:szCs w:val="24"/>
        </w:rPr>
      </w:pPr>
    </w:p>
    <w:p w:rsidR="00BB6383" w:rsidRDefault="00BB6383" w:rsidP="00BB6383">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F723E5" w:rsidTr="00F723E5">
        <w:trPr>
          <w:trHeight w:val="290"/>
        </w:trPr>
        <w:tc>
          <w:tcPr>
            <w:tcW w:w="4286"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rPr>
                <w:rFonts w:ascii="Arial" w:hAnsi="Arial" w:cs="Arial"/>
                <w:b/>
                <w:bCs/>
                <w:color w:val="333333"/>
                <w:sz w:val="16"/>
                <w:szCs w:val="16"/>
              </w:rPr>
            </w:pPr>
            <w:r>
              <w:rPr>
                <w:rFonts w:ascii="Arial" w:hAnsi="Arial" w:cs="Arial"/>
                <w:b/>
                <w:bCs/>
                <w:color w:val="333333"/>
                <w:sz w:val="16"/>
                <w:szCs w:val="16"/>
              </w:rPr>
              <w:lastRenderedPageBreak/>
              <w:t>Alquiler de inmuebles</w:t>
            </w:r>
          </w:p>
        </w:tc>
        <w:tc>
          <w:tcPr>
            <w:tcW w:w="1289"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2,744,417.00</w:t>
            </w:r>
          </w:p>
        </w:tc>
      </w:tr>
      <w:tr w:rsidR="00F723E5" w:rsidTr="00F723E5">
        <w:trPr>
          <w:trHeight w:val="290"/>
        </w:trPr>
        <w:tc>
          <w:tcPr>
            <w:tcW w:w="4286"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rPr>
                <w:rFonts w:ascii="Arial" w:hAnsi="Arial" w:cs="Arial"/>
                <w:b/>
                <w:bCs/>
                <w:color w:val="333333"/>
                <w:sz w:val="16"/>
                <w:szCs w:val="16"/>
              </w:rPr>
            </w:pPr>
            <w:r>
              <w:rPr>
                <w:rFonts w:ascii="Arial" w:hAnsi="Arial" w:cs="Arial"/>
                <w:b/>
                <w:bCs/>
                <w:color w:val="333333"/>
                <w:sz w:val="16"/>
                <w:szCs w:val="16"/>
              </w:rPr>
              <w:t xml:space="preserve">Gasto de </w:t>
            </w:r>
            <w:r w:rsidR="00F13688">
              <w:rPr>
                <w:rFonts w:ascii="Arial" w:hAnsi="Arial" w:cs="Arial"/>
                <w:b/>
                <w:bCs/>
                <w:color w:val="333333"/>
                <w:sz w:val="16"/>
                <w:szCs w:val="16"/>
              </w:rPr>
              <w:t>amortización</w:t>
            </w:r>
          </w:p>
        </w:tc>
        <w:tc>
          <w:tcPr>
            <w:tcW w:w="1289"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346,568.15</w:t>
            </w:r>
          </w:p>
        </w:tc>
      </w:tr>
      <w:tr w:rsidR="00F723E5" w:rsidTr="00F723E5">
        <w:trPr>
          <w:trHeight w:val="290"/>
        </w:trPr>
        <w:tc>
          <w:tcPr>
            <w:tcW w:w="4286"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rPr>
                <w:rFonts w:ascii="Arial" w:hAnsi="Arial" w:cs="Arial"/>
                <w:b/>
                <w:bCs/>
                <w:color w:val="333333"/>
                <w:sz w:val="16"/>
                <w:szCs w:val="16"/>
              </w:rPr>
            </w:pPr>
            <w:r>
              <w:rPr>
                <w:rFonts w:ascii="Arial" w:hAnsi="Arial" w:cs="Arial"/>
                <w:b/>
                <w:bCs/>
                <w:color w:val="333333"/>
                <w:sz w:val="16"/>
                <w:szCs w:val="16"/>
              </w:rPr>
              <w:t xml:space="preserve">Gasto de </w:t>
            </w:r>
            <w:r w:rsidR="00F13688">
              <w:rPr>
                <w:rFonts w:ascii="Arial" w:hAnsi="Arial" w:cs="Arial"/>
                <w:b/>
                <w:bCs/>
                <w:color w:val="333333"/>
                <w:sz w:val="16"/>
                <w:szCs w:val="16"/>
              </w:rPr>
              <w:t>Depreciación</w:t>
            </w:r>
          </w:p>
        </w:tc>
        <w:tc>
          <w:tcPr>
            <w:tcW w:w="1289"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730,390.10</w:t>
            </w:r>
          </w:p>
        </w:tc>
      </w:tr>
      <w:tr w:rsidR="00F723E5" w:rsidTr="00F723E5">
        <w:trPr>
          <w:trHeight w:val="290"/>
        </w:trPr>
        <w:tc>
          <w:tcPr>
            <w:tcW w:w="4286"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rPr>
                <w:rFonts w:ascii="Arial" w:hAnsi="Arial" w:cs="Arial"/>
                <w:b/>
                <w:bCs/>
                <w:color w:val="333333"/>
                <w:sz w:val="16"/>
                <w:szCs w:val="16"/>
              </w:rPr>
            </w:pPr>
            <w:proofErr w:type="spellStart"/>
            <w:r>
              <w:rPr>
                <w:rFonts w:ascii="Arial" w:hAnsi="Arial" w:cs="Arial"/>
                <w:b/>
                <w:bCs/>
                <w:color w:val="333333"/>
                <w:sz w:val="16"/>
                <w:szCs w:val="16"/>
              </w:rPr>
              <w:t>Mant</w:t>
            </w:r>
            <w:proofErr w:type="spellEnd"/>
            <w:r>
              <w:rPr>
                <w:rFonts w:ascii="Arial" w:hAnsi="Arial" w:cs="Arial"/>
                <w:b/>
                <w:bCs/>
                <w:color w:val="333333"/>
                <w:sz w:val="16"/>
                <w:szCs w:val="16"/>
              </w:rPr>
              <w:t xml:space="preserve">. </w:t>
            </w:r>
            <w:proofErr w:type="gramStart"/>
            <w:r>
              <w:rPr>
                <w:rFonts w:ascii="Arial" w:hAnsi="Arial" w:cs="Arial"/>
                <w:b/>
                <w:bCs/>
                <w:color w:val="333333"/>
                <w:sz w:val="16"/>
                <w:szCs w:val="16"/>
              </w:rPr>
              <w:t>y</w:t>
            </w:r>
            <w:proofErr w:type="gramEnd"/>
            <w:r>
              <w:rPr>
                <w:rFonts w:ascii="Arial" w:hAnsi="Arial" w:cs="Arial"/>
                <w:b/>
                <w:bCs/>
                <w:color w:val="333333"/>
                <w:sz w:val="16"/>
                <w:szCs w:val="16"/>
              </w:rPr>
              <w:t xml:space="preserve"> </w:t>
            </w:r>
            <w:proofErr w:type="spellStart"/>
            <w:r>
              <w:rPr>
                <w:rFonts w:ascii="Arial" w:hAnsi="Arial" w:cs="Arial"/>
                <w:b/>
                <w:bCs/>
                <w:color w:val="333333"/>
                <w:sz w:val="16"/>
                <w:szCs w:val="16"/>
              </w:rPr>
              <w:t>Repar</w:t>
            </w:r>
            <w:proofErr w:type="spellEnd"/>
            <w:r>
              <w:rPr>
                <w:rFonts w:ascii="Arial" w:hAnsi="Arial" w:cs="Arial"/>
                <w:b/>
                <w:bCs/>
                <w:color w:val="333333"/>
                <w:sz w:val="16"/>
                <w:szCs w:val="16"/>
              </w:rPr>
              <w:t>. de inmuebles y m</w:t>
            </w:r>
          </w:p>
        </w:tc>
        <w:tc>
          <w:tcPr>
            <w:tcW w:w="1289" w:type="dxa"/>
            <w:tcBorders>
              <w:top w:val="nil"/>
              <w:left w:val="nil"/>
              <w:bottom w:val="nil"/>
              <w:right w:val="nil"/>
            </w:tcBorders>
            <w:shd w:val="solid" w:color="FFFFFF" w:fill="auto"/>
          </w:tcPr>
          <w:p w:rsidR="00F723E5" w:rsidRDefault="00F723E5">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952,195.97</w:t>
            </w:r>
          </w:p>
        </w:tc>
      </w:tr>
    </w:tbl>
    <w:p w:rsidR="00F723E5" w:rsidRPr="00EA3D2D" w:rsidRDefault="00F723E5" w:rsidP="00BB6383">
      <w:pPr>
        <w:widowControl w:val="0"/>
        <w:jc w:val="both"/>
        <w:rPr>
          <w:rFonts w:ascii="Cambria" w:hAnsi="Cambria" w:cs="Arial"/>
        </w:rPr>
      </w:pPr>
    </w:p>
    <w:p w:rsidR="00723990" w:rsidRDefault="00723990" w:rsidP="00723990">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723990" w:rsidRDefault="00723990" w:rsidP="00723990">
      <w:pPr>
        <w:widowControl w:val="0"/>
        <w:autoSpaceDE w:val="0"/>
        <w:autoSpaceDN w:val="0"/>
        <w:adjustRightInd w:val="0"/>
        <w:spacing w:after="0" w:line="200" w:lineRule="exact"/>
        <w:rPr>
          <w:rFonts w:ascii="Times New Roman" w:hAnsi="Times New Roman"/>
          <w:sz w:val="24"/>
          <w:szCs w:val="24"/>
        </w:rPr>
      </w:pPr>
    </w:p>
    <w:p w:rsidR="00723990" w:rsidRDefault="00723990" w:rsidP="00723990">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tbl>
      <w:tblPr>
        <w:tblW w:w="5232" w:type="dxa"/>
        <w:tblInd w:w="70" w:type="dxa"/>
        <w:tblCellMar>
          <w:left w:w="70" w:type="dxa"/>
          <w:right w:w="70" w:type="dxa"/>
        </w:tblCellMar>
        <w:tblLook w:val="04A0" w:firstRow="1" w:lastRow="0" w:firstColumn="1" w:lastColumn="0" w:noHBand="0" w:noVBand="1"/>
      </w:tblPr>
      <w:tblGrid>
        <w:gridCol w:w="4016"/>
        <w:gridCol w:w="1216"/>
      </w:tblGrid>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Agua</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198.822,00</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proofErr w:type="spellStart"/>
            <w:r w:rsidRPr="003E0E60">
              <w:rPr>
                <w:rFonts w:ascii="Arial" w:eastAsia="Times New Roman" w:hAnsi="Arial" w:cs="Arial"/>
                <w:b/>
                <w:bCs/>
                <w:color w:val="323232"/>
                <w:sz w:val="16"/>
                <w:szCs w:val="16"/>
              </w:rPr>
              <w:t>Amortizacion</w:t>
            </w:r>
            <w:proofErr w:type="spellEnd"/>
            <w:r w:rsidRPr="003E0E60">
              <w:rPr>
                <w:rFonts w:ascii="Arial" w:eastAsia="Times New Roman" w:hAnsi="Arial" w:cs="Arial"/>
                <w:b/>
                <w:bCs/>
                <w:color w:val="323232"/>
                <w:sz w:val="16"/>
                <w:szCs w:val="16"/>
              </w:rPr>
              <w:t xml:space="preserve"> de gastos de </w:t>
            </w:r>
            <w:proofErr w:type="spellStart"/>
            <w:r w:rsidRPr="003E0E60">
              <w:rPr>
                <w:rFonts w:ascii="Arial" w:eastAsia="Times New Roman" w:hAnsi="Arial" w:cs="Arial"/>
                <w:b/>
                <w:bCs/>
                <w:color w:val="323232"/>
                <w:sz w:val="16"/>
                <w:szCs w:val="16"/>
              </w:rPr>
              <w:t>organ</w:t>
            </w:r>
            <w:proofErr w:type="spellEnd"/>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0,00</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Amortización de Software</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735.716,78</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proofErr w:type="spellStart"/>
            <w:r w:rsidRPr="003E0E60">
              <w:rPr>
                <w:rFonts w:ascii="Arial" w:eastAsia="Times New Roman" w:hAnsi="Arial" w:cs="Arial"/>
                <w:b/>
                <w:bCs/>
                <w:color w:val="323232"/>
                <w:sz w:val="16"/>
                <w:szCs w:val="16"/>
              </w:rPr>
              <w:t>Eletricidad</w:t>
            </w:r>
            <w:proofErr w:type="spellEnd"/>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985.995,74</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Gastos legales</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1.009.490,54</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 xml:space="preserve">Gastos por materiales y </w:t>
            </w:r>
            <w:proofErr w:type="spellStart"/>
            <w:r w:rsidRPr="003E0E60">
              <w:rPr>
                <w:rFonts w:ascii="Arial" w:eastAsia="Times New Roman" w:hAnsi="Arial" w:cs="Arial"/>
                <w:b/>
                <w:bCs/>
                <w:color w:val="323232"/>
                <w:sz w:val="16"/>
                <w:szCs w:val="16"/>
              </w:rPr>
              <w:t>suminis</w:t>
            </w:r>
            <w:proofErr w:type="spellEnd"/>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184.853,63</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Internet</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584.429,10</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proofErr w:type="spellStart"/>
            <w:r w:rsidRPr="003E0E60">
              <w:rPr>
                <w:rFonts w:ascii="Arial" w:eastAsia="Times New Roman" w:hAnsi="Arial" w:cs="Arial"/>
                <w:b/>
                <w:bCs/>
                <w:color w:val="323232"/>
                <w:sz w:val="16"/>
                <w:szCs w:val="16"/>
              </w:rPr>
              <w:t>Papeleria</w:t>
            </w:r>
            <w:proofErr w:type="spellEnd"/>
            <w:r w:rsidRPr="003E0E60">
              <w:rPr>
                <w:rFonts w:ascii="Arial" w:eastAsia="Times New Roman" w:hAnsi="Arial" w:cs="Arial"/>
                <w:b/>
                <w:bCs/>
                <w:color w:val="323232"/>
                <w:sz w:val="16"/>
                <w:szCs w:val="16"/>
              </w:rPr>
              <w:t xml:space="preserve"> </w:t>
            </w:r>
            <w:proofErr w:type="spellStart"/>
            <w:r w:rsidRPr="003E0E60">
              <w:rPr>
                <w:rFonts w:ascii="Arial" w:eastAsia="Times New Roman" w:hAnsi="Arial" w:cs="Arial"/>
                <w:b/>
                <w:bCs/>
                <w:color w:val="323232"/>
                <w:sz w:val="16"/>
                <w:szCs w:val="16"/>
              </w:rPr>
              <w:t>utiles</w:t>
            </w:r>
            <w:proofErr w:type="spellEnd"/>
            <w:r w:rsidRPr="003E0E60">
              <w:rPr>
                <w:rFonts w:ascii="Arial" w:eastAsia="Times New Roman" w:hAnsi="Arial" w:cs="Arial"/>
                <w:b/>
                <w:bCs/>
                <w:color w:val="323232"/>
                <w:sz w:val="16"/>
                <w:szCs w:val="16"/>
              </w:rPr>
              <w:t xml:space="preserve"> y otros </w:t>
            </w:r>
            <w:proofErr w:type="spellStart"/>
            <w:r w:rsidRPr="003E0E60">
              <w:rPr>
                <w:rFonts w:ascii="Arial" w:eastAsia="Times New Roman" w:hAnsi="Arial" w:cs="Arial"/>
                <w:b/>
                <w:bCs/>
                <w:color w:val="323232"/>
                <w:sz w:val="16"/>
                <w:szCs w:val="16"/>
              </w:rPr>
              <w:t>materi</w:t>
            </w:r>
            <w:proofErr w:type="spellEnd"/>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749.932,43</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proofErr w:type="spellStart"/>
            <w:r w:rsidRPr="003E0E60">
              <w:rPr>
                <w:rFonts w:ascii="Arial" w:eastAsia="Times New Roman" w:hAnsi="Arial" w:cs="Arial"/>
                <w:b/>
                <w:bCs/>
                <w:color w:val="323232"/>
                <w:sz w:val="16"/>
                <w:szCs w:val="16"/>
              </w:rPr>
              <w:t>Promocion</w:t>
            </w:r>
            <w:proofErr w:type="spellEnd"/>
            <w:r w:rsidRPr="003E0E60">
              <w:rPr>
                <w:rFonts w:ascii="Arial" w:eastAsia="Times New Roman" w:hAnsi="Arial" w:cs="Arial"/>
                <w:b/>
                <w:bCs/>
                <w:color w:val="323232"/>
                <w:sz w:val="16"/>
                <w:szCs w:val="16"/>
              </w:rPr>
              <w:t xml:space="preserve"> y publicidad</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732.485,00</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Seguro Accidente y Salud</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365.094,79</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r w:rsidRPr="003E0E60">
              <w:rPr>
                <w:rFonts w:ascii="Arial" w:eastAsia="Times New Roman" w:hAnsi="Arial" w:cs="Arial"/>
                <w:b/>
                <w:bCs/>
                <w:color w:val="323232"/>
                <w:sz w:val="16"/>
                <w:szCs w:val="16"/>
              </w:rPr>
              <w:t>Suscripciones y afiliaciones</w:t>
            </w:r>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325.000,00</w:t>
            </w:r>
          </w:p>
        </w:tc>
      </w:tr>
      <w:tr w:rsidR="003E0E60" w:rsidRPr="003E0E60" w:rsidTr="003E0E60">
        <w:trPr>
          <w:trHeight w:val="300"/>
        </w:trPr>
        <w:tc>
          <w:tcPr>
            <w:tcW w:w="40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rPr>
                <w:rFonts w:ascii="Arial" w:eastAsia="Times New Roman" w:hAnsi="Arial" w:cs="Arial"/>
                <w:b/>
                <w:bCs/>
                <w:color w:val="323232"/>
                <w:sz w:val="16"/>
                <w:szCs w:val="16"/>
              </w:rPr>
            </w:pPr>
            <w:proofErr w:type="spellStart"/>
            <w:r w:rsidRPr="003E0E60">
              <w:rPr>
                <w:rFonts w:ascii="Arial" w:eastAsia="Times New Roman" w:hAnsi="Arial" w:cs="Arial"/>
                <w:b/>
                <w:bCs/>
                <w:color w:val="323232"/>
                <w:sz w:val="16"/>
                <w:szCs w:val="16"/>
              </w:rPr>
              <w:t>Telefono</w:t>
            </w:r>
            <w:proofErr w:type="spellEnd"/>
          </w:p>
        </w:tc>
        <w:tc>
          <w:tcPr>
            <w:tcW w:w="1216" w:type="dxa"/>
            <w:tcBorders>
              <w:top w:val="nil"/>
              <w:left w:val="nil"/>
              <w:bottom w:val="nil"/>
              <w:right w:val="nil"/>
            </w:tcBorders>
            <w:shd w:val="clear" w:color="000000" w:fill="FFFFFF"/>
            <w:noWrap/>
            <w:vAlign w:val="bottom"/>
            <w:hideMark/>
          </w:tcPr>
          <w:p w:rsidR="003E0E60" w:rsidRPr="003E0E60" w:rsidRDefault="003E0E60" w:rsidP="003E0E60">
            <w:pPr>
              <w:spacing w:after="0" w:line="240" w:lineRule="auto"/>
              <w:jc w:val="right"/>
              <w:rPr>
                <w:rFonts w:ascii="Arial" w:eastAsia="Times New Roman" w:hAnsi="Arial" w:cs="Arial"/>
                <w:color w:val="323232"/>
                <w:sz w:val="16"/>
                <w:szCs w:val="16"/>
              </w:rPr>
            </w:pPr>
            <w:r w:rsidRPr="003E0E60">
              <w:rPr>
                <w:rFonts w:ascii="Arial" w:eastAsia="Times New Roman" w:hAnsi="Arial" w:cs="Arial"/>
                <w:color w:val="323232"/>
                <w:sz w:val="16"/>
                <w:szCs w:val="16"/>
              </w:rPr>
              <w:t>388.379,96</w:t>
            </w:r>
          </w:p>
        </w:tc>
      </w:tr>
    </w:tbl>
    <w:p w:rsidR="003E0E60" w:rsidRDefault="003E0E60" w:rsidP="00723990">
      <w:pPr>
        <w:widowControl w:val="0"/>
        <w:autoSpaceDE w:val="0"/>
        <w:autoSpaceDN w:val="0"/>
        <w:adjustRightInd w:val="0"/>
        <w:spacing w:after="0" w:line="239" w:lineRule="auto"/>
        <w:ind w:left="40"/>
        <w:rPr>
          <w:rFonts w:ascii="Times New Roman" w:hAnsi="Times New Roman"/>
          <w:b/>
          <w:bCs/>
          <w:sz w:val="23"/>
          <w:szCs w:val="23"/>
        </w:rPr>
      </w:pPr>
    </w:p>
    <w:p w:rsidR="003E0E60" w:rsidRDefault="003E0E60" w:rsidP="00723990">
      <w:pPr>
        <w:widowControl w:val="0"/>
        <w:autoSpaceDE w:val="0"/>
        <w:autoSpaceDN w:val="0"/>
        <w:adjustRightInd w:val="0"/>
        <w:spacing w:after="0" w:line="239" w:lineRule="auto"/>
        <w:ind w:left="40"/>
        <w:rPr>
          <w:rFonts w:ascii="Times New Roman" w:hAnsi="Times New Roman"/>
          <w:b/>
          <w:bCs/>
          <w:sz w:val="23"/>
          <w:szCs w:val="23"/>
        </w:rPr>
      </w:pPr>
    </w:p>
    <w:p w:rsidR="00723990" w:rsidRDefault="00723990" w:rsidP="00723990">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723990" w:rsidRDefault="00723990" w:rsidP="00723990">
      <w:pPr>
        <w:widowControl w:val="0"/>
        <w:autoSpaceDE w:val="0"/>
        <w:autoSpaceDN w:val="0"/>
        <w:adjustRightInd w:val="0"/>
        <w:spacing w:after="0" w:line="200" w:lineRule="exact"/>
        <w:rPr>
          <w:rFonts w:ascii="Times New Roman" w:hAnsi="Times New Roman"/>
          <w:sz w:val="24"/>
          <w:szCs w:val="24"/>
        </w:rPr>
      </w:pPr>
    </w:p>
    <w:p w:rsidR="00022B9A" w:rsidRDefault="00723990" w:rsidP="00022B9A">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570C6C" w:rsidTr="00570C6C">
        <w:trPr>
          <w:trHeight w:val="290"/>
        </w:trPr>
        <w:tc>
          <w:tcPr>
            <w:tcW w:w="4286" w:type="dxa"/>
            <w:tcBorders>
              <w:top w:val="nil"/>
              <w:left w:val="nil"/>
              <w:bottom w:val="nil"/>
              <w:right w:val="nil"/>
            </w:tcBorders>
            <w:shd w:val="solid" w:color="FFFFFF" w:fill="auto"/>
          </w:tcPr>
          <w:p w:rsidR="00570C6C" w:rsidRDefault="00570C6C">
            <w:pPr>
              <w:autoSpaceDE w:val="0"/>
              <w:autoSpaceDN w:val="0"/>
              <w:adjustRightInd w:val="0"/>
              <w:spacing w:after="0" w:line="240" w:lineRule="auto"/>
              <w:rPr>
                <w:rFonts w:ascii="Arial" w:hAnsi="Arial" w:cs="Arial"/>
                <w:b/>
                <w:bCs/>
                <w:color w:val="333333"/>
                <w:sz w:val="16"/>
                <w:szCs w:val="16"/>
              </w:rPr>
            </w:pPr>
            <w:r>
              <w:rPr>
                <w:rFonts w:ascii="Arial" w:hAnsi="Arial" w:cs="Arial"/>
                <w:b/>
                <w:bCs/>
                <w:color w:val="333333"/>
                <w:sz w:val="16"/>
                <w:szCs w:val="16"/>
              </w:rPr>
              <w:t>Servicios de Seguridad</w:t>
            </w:r>
          </w:p>
        </w:tc>
        <w:tc>
          <w:tcPr>
            <w:tcW w:w="1289" w:type="dxa"/>
            <w:tcBorders>
              <w:top w:val="nil"/>
              <w:left w:val="nil"/>
              <w:bottom w:val="nil"/>
              <w:right w:val="nil"/>
            </w:tcBorders>
            <w:shd w:val="solid" w:color="FFFFFF" w:fill="auto"/>
          </w:tcPr>
          <w:p w:rsidR="00570C6C" w:rsidRDefault="00570C6C">
            <w:pPr>
              <w:autoSpaceDE w:val="0"/>
              <w:autoSpaceDN w:val="0"/>
              <w:adjustRightInd w:val="0"/>
              <w:spacing w:after="0" w:line="240" w:lineRule="auto"/>
              <w:jc w:val="right"/>
              <w:rPr>
                <w:rFonts w:ascii="Arial" w:hAnsi="Arial" w:cs="Arial"/>
                <w:color w:val="333333"/>
                <w:sz w:val="16"/>
                <w:szCs w:val="16"/>
              </w:rPr>
            </w:pPr>
            <w:r>
              <w:rPr>
                <w:rFonts w:ascii="Arial" w:hAnsi="Arial" w:cs="Arial"/>
                <w:color w:val="333333"/>
                <w:sz w:val="16"/>
                <w:szCs w:val="16"/>
              </w:rPr>
              <w:t>16,060.00</w:t>
            </w:r>
          </w:p>
        </w:tc>
      </w:tr>
    </w:tbl>
    <w:p w:rsidR="00570C6C" w:rsidRDefault="00570C6C" w:rsidP="00022B9A">
      <w:pPr>
        <w:widowControl w:val="0"/>
        <w:jc w:val="both"/>
        <w:rPr>
          <w:rFonts w:ascii="Cambria" w:hAnsi="Cambria" w:cs="Arial"/>
        </w:rPr>
      </w:pPr>
    </w:p>
    <w:p w:rsidR="00723990" w:rsidRDefault="007B447B" w:rsidP="00723990">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(23) </w:t>
      </w:r>
      <w:r w:rsidR="00F13688">
        <w:rPr>
          <w:rFonts w:ascii="Times New Roman" w:hAnsi="Times New Roman"/>
          <w:b/>
          <w:bCs/>
          <w:sz w:val="23"/>
          <w:szCs w:val="23"/>
        </w:rPr>
        <w:t>Otras</w:t>
      </w:r>
      <w:r>
        <w:rPr>
          <w:rFonts w:ascii="Times New Roman" w:hAnsi="Times New Roman"/>
          <w:b/>
          <w:bCs/>
          <w:sz w:val="23"/>
          <w:szCs w:val="23"/>
        </w:rPr>
        <w:t xml:space="preserve"> Cuentas de Registros</w:t>
      </w:r>
    </w:p>
    <w:p w:rsidR="00723990" w:rsidRDefault="00723990" w:rsidP="00723990">
      <w:pPr>
        <w:widowControl w:val="0"/>
        <w:autoSpaceDE w:val="0"/>
        <w:autoSpaceDN w:val="0"/>
        <w:adjustRightInd w:val="0"/>
        <w:spacing w:after="0" w:line="200" w:lineRule="exact"/>
        <w:rPr>
          <w:rFonts w:ascii="Times New Roman" w:hAnsi="Times New Roman"/>
          <w:sz w:val="24"/>
          <w:szCs w:val="24"/>
        </w:rPr>
      </w:pPr>
    </w:p>
    <w:p w:rsidR="007B447B" w:rsidRDefault="007B447B" w:rsidP="007B447B">
      <w:pPr>
        <w:widowControl w:val="0"/>
        <w:jc w:val="both"/>
        <w:rPr>
          <w:rFonts w:ascii="Cambria" w:hAnsi="Cambria" w:cs="Arial"/>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421643" w:rsidRDefault="00421643">
      <w:pPr>
        <w:widowControl w:val="0"/>
        <w:autoSpaceDE w:val="0"/>
        <w:autoSpaceDN w:val="0"/>
        <w:adjustRightInd w:val="0"/>
        <w:spacing w:after="0" w:line="200" w:lineRule="exact"/>
        <w:rPr>
          <w:rFonts w:ascii="Times New Roman" w:hAnsi="Times New Roman"/>
          <w:sz w:val="24"/>
          <w:szCs w:val="24"/>
        </w:rPr>
      </w:pPr>
    </w:p>
    <w:p w:rsidR="00C35ED4" w:rsidRDefault="007B447B">
      <w:pPr>
        <w:widowControl w:val="0"/>
        <w:autoSpaceDE w:val="0"/>
        <w:autoSpaceDN w:val="0"/>
        <w:adjustRightInd w:val="0"/>
        <w:spacing w:after="0" w:line="239" w:lineRule="auto"/>
        <w:ind w:left="40"/>
        <w:rPr>
          <w:rFonts w:ascii="Times New Roman" w:hAnsi="Times New Roman"/>
          <w:sz w:val="24"/>
          <w:szCs w:val="24"/>
        </w:rPr>
      </w:pPr>
      <w:bookmarkStart w:id="14" w:name="page14"/>
      <w:bookmarkEnd w:id="14"/>
      <w:r>
        <w:rPr>
          <w:rFonts w:ascii="Times New Roman" w:hAnsi="Times New Roman"/>
          <w:b/>
          <w:bCs/>
          <w:sz w:val="23"/>
          <w:szCs w:val="23"/>
        </w:rPr>
        <w:t>(24</w:t>
      </w:r>
      <w:r w:rsidR="00C35ED4">
        <w:rPr>
          <w:rFonts w:ascii="Times New Roman" w:hAnsi="Times New Roman"/>
          <w:b/>
          <w:bCs/>
          <w:sz w:val="23"/>
          <w:szCs w:val="23"/>
        </w:rPr>
        <w:t>) Administración del riesgo de instrumentos financieros</w:t>
      </w:r>
    </w:p>
    <w:p w:rsidR="00C35ED4" w:rsidRDefault="00C35ED4">
      <w:pPr>
        <w:widowControl w:val="0"/>
        <w:autoSpaceDE w:val="0"/>
        <w:autoSpaceDN w:val="0"/>
        <w:adjustRightInd w:val="0"/>
        <w:spacing w:after="0" w:line="264"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lastRenderedPageBreak/>
        <w:t>El riesgo de crédito es el riesgo por pérdidas financieras para la Empresa si un cliente o la contraparte de un instrumento financiero falla en la atención de sus obligaciones contractuales y se relaciona principalmente con las cuentas por cobrar</w:t>
      </w:r>
    </w:p>
    <w:p w:rsidR="00C35ED4" w:rsidRDefault="00C35ED4">
      <w:pPr>
        <w:widowControl w:val="0"/>
        <w:autoSpaceDE w:val="0"/>
        <w:autoSpaceDN w:val="0"/>
        <w:adjustRightInd w:val="0"/>
        <w:spacing w:after="0" w:line="319"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r w:rsidR="00637015">
        <w:rPr>
          <w:rFonts w:ascii="Times New Roman" w:hAnsi="Times New Roman"/>
          <w:sz w:val="23"/>
          <w:szCs w:val="23"/>
        </w:rPr>
        <w:t>.</w:t>
      </w:r>
    </w:p>
    <w:p w:rsidR="00C35ED4" w:rsidRDefault="00C35ED4">
      <w:pPr>
        <w:widowControl w:val="0"/>
        <w:autoSpaceDE w:val="0"/>
        <w:autoSpaceDN w:val="0"/>
        <w:adjustRightInd w:val="0"/>
        <w:spacing w:after="0" w:line="269"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421643">
        <w:rPr>
          <w:rFonts w:ascii="Times New Roman" w:hAnsi="Times New Roman"/>
          <w:sz w:val="23"/>
          <w:szCs w:val="23"/>
        </w:rPr>
        <w:t xml:space="preserve">30 de </w:t>
      </w:r>
      <w:r w:rsidR="006879F8">
        <w:rPr>
          <w:rFonts w:ascii="Times New Roman" w:hAnsi="Times New Roman"/>
          <w:sz w:val="23"/>
          <w:szCs w:val="23"/>
        </w:rPr>
        <w:t>setiembre</w:t>
      </w:r>
      <w:r w:rsidR="00603D45">
        <w:rPr>
          <w:rFonts w:ascii="Times New Roman" w:hAnsi="Times New Roman"/>
          <w:sz w:val="23"/>
          <w:szCs w:val="23"/>
        </w:rPr>
        <w:t xml:space="preserve"> del 2015</w:t>
      </w:r>
      <w:r>
        <w:rPr>
          <w:rFonts w:ascii="Times New Roman" w:hAnsi="Times New Roman"/>
          <w:sz w:val="23"/>
          <w:szCs w:val="23"/>
        </w:rPr>
        <w:t>, todos los activos y pasivos se ubican geográficamente en Costa Rica.</w:t>
      </w:r>
    </w:p>
    <w:p w:rsidR="00C35ED4" w:rsidRDefault="00C35ED4">
      <w:pPr>
        <w:widowControl w:val="0"/>
        <w:autoSpaceDE w:val="0"/>
        <w:autoSpaceDN w:val="0"/>
        <w:adjustRightInd w:val="0"/>
        <w:spacing w:after="0" w:line="265" w:lineRule="exact"/>
        <w:rPr>
          <w:rFonts w:ascii="Times New Roman" w:hAnsi="Times New Roman"/>
          <w:sz w:val="24"/>
          <w:szCs w:val="24"/>
        </w:rPr>
      </w:pPr>
      <w:bookmarkStart w:id="15" w:name="_GoBack"/>
      <w:bookmarkEnd w:id="15"/>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rsidR="00C35ED4" w:rsidRDefault="00C35ED4">
      <w:pPr>
        <w:widowControl w:val="0"/>
        <w:autoSpaceDE w:val="0"/>
        <w:autoSpaceDN w:val="0"/>
        <w:adjustRightInd w:val="0"/>
        <w:spacing w:after="0" w:line="318"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C35ED4" w:rsidRDefault="00C35ED4">
      <w:pPr>
        <w:widowControl w:val="0"/>
        <w:autoSpaceDE w:val="0"/>
        <w:autoSpaceDN w:val="0"/>
        <w:adjustRightInd w:val="0"/>
        <w:spacing w:after="0" w:line="266"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C35ED4" w:rsidRDefault="00C35ED4">
      <w:pPr>
        <w:widowControl w:val="0"/>
        <w:autoSpaceDE w:val="0"/>
        <w:autoSpaceDN w:val="0"/>
        <w:adjustRightInd w:val="0"/>
        <w:spacing w:after="0" w:line="317" w:lineRule="exact"/>
        <w:rPr>
          <w:rFonts w:ascii="Times New Roman" w:hAnsi="Times New Roman"/>
          <w:sz w:val="24"/>
          <w:szCs w:val="24"/>
        </w:rPr>
      </w:pPr>
    </w:p>
    <w:p w:rsidR="00C35ED4" w:rsidRDefault="00C35ED4">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C35ED4" w:rsidRDefault="00C35ED4">
      <w:pPr>
        <w:widowControl w:val="0"/>
        <w:autoSpaceDE w:val="0"/>
        <w:autoSpaceDN w:val="0"/>
        <w:adjustRightInd w:val="0"/>
        <w:spacing w:after="0" w:line="265" w:lineRule="exact"/>
        <w:rPr>
          <w:rFonts w:ascii="Times New Roman" w:hAnsi="Times New Roman"/>
          <w:sz w:val="24"/>
          <w:szCs w:val="24"/>
        </w:rPr>
      </w:pPr>
    </w:p>
    <w:p w:rsidR="00C35ED4" w:rsidRDefault="00C35ED4">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C35ED4" w:rsidRDefault="00C35ED4">
      <w:pPr>
        <w:widowControl w:val="0"/>
        <w:autoSpaceDE w:val="0"/>
        <w:autoSpaceDN w:val="0"/>
        <w:adjustRightInd w:val="0"/>
        <w:spacing w:after="0" w:line="322" w:lineRule="exact"/>
        <w:rPr>
          <w:rFonts w:ascii="Times New Roman" w:hAnsi="Times New Roman"/>
          <w:sz w:val="24"/>
          <w:szCs w:val="24"/>
        </w:rPr>
      </w:pPr>
    </w:p>
    <w:p w:rsidR="00C35ED4" w:rsidRDefault="00C35ED4" w:rsidP="00DC6AC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00DC6AC6" w:rsidRPr="00972FF3">
        <w:rPr>
          <w:rFonts w:ascii="Times New Roman" w:hAnsi="Times New Roman"/>
          <w:sz w:val="23"/>
          <w:szCs w:val="23"/>
        </w:rPr>
        <w:t xml:space="preserve">Al </w:t>
      </w:r>
      <w:r w:rsidR="00421643">
        <w:rPr>
          <w:rFonts w:ascii="Times New Roman" w:hAnsi="Times New Roman"/>
          <w:sz w:val="23"/>
          <w:szCs w:val="23"/>
        </w:rPr>
        <w:t xml:space="preserve">30 de </w:t>
      </w:r>
      <w:r w:rsidR="006363F3">
        <w:rPr>
          <w:rFonts w:ascii="Times New Roman" w:hAnsi="Times New Roman"/>
          <w:sz w:val="23"/>
          <w:szCs w:val="23"/>
        </w:rPr>
        <w:t>setiembre</w:t>
      </w:r>
      <w:r w:rsidR="00DC6AC6" w:rsidRPr="00972FF3">
        <w:rPr>
          <w:rFonts w:ascii="Times New Roman" w:hAnsi="Times New Roman"/>
          <w:sz w:val="23"/>
          <w:szCs w:val="23"/>
        </w:rPr>
        <w:t xml:space="preserve"> del 2015 la unidad de desarrollo se valuaba a ¢</w:t>
      </w:r>
      <w:r w:rsidR="006879F8" w:rsidRPr="006879F8">
        <w:rPr>
          <w:rFonts w:ascii="Times New Roman" w:hAnsi="Times New Roman"/>
          <w:sz w:val="23"/>
          <w:szCs w:val="23"/>
        </w:rPr>
        <w:t>859,7460</w:t>
      </w:r>
      <w:r w:rsidR="00DC6AC6"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7B447B">
      <w:pPr>
        <w:widowControl w:val="0"/>
        <w:autoSpaceDE w:val="0"/>
        <w:autoSpaceDN w:val="0"/>
        <w:adjustRightInd w:val="0"/>
        <w:spacing w:after="0" w:line="239" w:lineRule="auto"/>
        <w:ind w:left="40"/>
        <w:rPr>
          <w:rFonts w:ascii="Times New Roman" w:hAnsi="Times New Roman"/>
          <w:sz w:val="24"/>
          <w:szCs w:val="24"/>
        </w:rPr>
      </w:pPr>
      <w:bookmarkStart w:id="16" w:name="page15"/>
      <w:bookmarkEnd w:id="16"/>
      <w:r>
        <w:rPr>
          <w:rFonts w:ascii="Times New Roman" w:hAnsi="Times New Roman"/>
          <w:b/>
          <w:bCs/>
          <w:sz w:val="23"/>
          <w:szCs w:val="23"/>
        </w:rPr>
        <w:t>(25</w:t>
      </w:r>
      <w:r w:rsidR="00C35ED4">
        <w:rPr>
          <w:rFonts w:ascii="Times New Roman" w:hAnsi="Times New Roman"/>
          <w:b/>
          <w:bCs/>
          <w:sz w:val="23"/>
          <w:szCs w:val="23"/>
        </w:rPr>
        <w:t>) Transición a Normas Internacionales de Información Financiera (NIIF)</w:t>
      </w:r>
    </w:p>
    <w:p w:rsidR="00C35ED4" w:rsidRDefault="00C35ED4">
      <w:pPr>
        <w:widowControl w:val="0"/>
        <w:autoSpaceDE w:val="0"/>
        <w:autoSpaceDN w:val="0"/>
        <w:adjustRightInd w:val="0"/>
        <w:spacing w:after="0" w:line="314"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 xml:space="preserve">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w:t>
      </w:r>
      <w:r>
        <w:rPr>
          <w:rFonts w:ascii="Times New Roman" w:hAnsi="Times New Roman"/>
          <w:sz w:val="23"/>
          <w:szCs w:val="23"/>
        </w:rPr>
        <w:lastRenderedPageBreak/>
        <w:t>la Junta de Normas Internacionales de Contabilidad modificó prácticamente todas las normas vigentes y emitió nuevas normas.</w:t>
      </w:r>
    </w:p>
    <w:p w:rsidR="00C35ED4" w:rsidRDefault="00C35ED4">
      <w:pPr>
        <w:widowControl w:val="0"/>
        <w:autoSpaceDE w:val="0"/>
        <w:autoSpaceDN w:val="0"/>
        <w:adjustRightInd w:val="0"/>
        <w:spacing w:after="0" w:line="321" w:lineRule="exact"/>
        <w:rPr>
          <w:rFonts w:ascii="Times New Roman" w:hAnsi="Times New Roman"/>
          <w:sz w:val="24"/>
          <w:szCs w:val="24"/>
        </w:rPr>
      </w:pPr>
    </w:p>
    <w:p w:rsidR="00C35ED4" w:rsidRDefault="00C35ED4">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El 18 de diciembre de 2007 y el 11 de mayo de 2010, mediante oficio C.N.S. 1116-07 y C.N.S. 4310-10 el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para los entes supervisados de conformidad con los textos vigentes al primero de enero de 2008; con la excepción de los tratamientos especiales indicados en el capítulo II de la Normativa anteriormente señalada.</w:t>
      </w:r>
    </w:p>
    <w:p w:rsidR="00C35ED4" w:rsidRDefault="00C35ED4">
      <w:pPr>
        <w:widowControl w:val="0"/>
        <w:autoSpaceDE w:val="0"/>
        <w:autoSpaceDN w:val="0"/>
        <w:adjustRightInd w:val="0"/>
        <w:spacing w:after="0" w:line="324" w:lineRule="exact"/>
        <w:rPr>
          <w:rFonts w:ascii="Times New Roman" w:hAnsi="Times New Roman"/>
          <w:sz w:val="24"/>
          <w:szCs w:val="24"/>
        </w:rPr>
      </w:pPr>
    </w:p>
    <w:p w:rsidR="00C35ED4" w:rsidRDefault="00C35ED4">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C35ED4" w:rsidRDefault="00C35ED4">
      <w:pPr>
        <w:widowControl w:val="0"/>
        <w:autoSpaceDE w:val="0"/>
        <w:autoSpaceDN w:val="0"/>
        <w:adjustRightInd w:val="0"/>
        <w:spacing w:after="0" w:line="273" w:lineRule="exact"/>
        <w:rPr>
          <w:rFonts w:ascii="Times New Roman" w:hAnsi="Times New Roman"/>
          <w:sz w:val="24"/>
          <w:szCs w:val="24"/>
        </w:rPr>
      </w:pPr>
    </w:p>
    <w:p w:rsidR="00C35ED4" w:rsidRDefault="007B447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w:t>
      </w:r>
      <w:r w:rsidR="00C35ED4">
        <w:rPr>
          <w:rFonts w:ascii="Times New Roman" w:hAnsi="Times New Roman"/>
          <w:b/>
          <w:bCs/>
          <w:sz w:val="23"/>
          <w:szCs w:val="23"/>
        </w:rPr>
        <w:t>) Litigios</w:t>
      </w:r>
    </w:p>
    <w:p w:rsidR="00C35ED4" w:rsidRDefault="00C35ED4">
      <w:pPr>
        <w:widowControl w:val="0"/>
        <w:autoSpaceDE w:val="0"/>
        <w:autoSpaceDN w:val="0"/>
        <w:adjustRightInd w:val="0"/>
        <w:spacing w:after="0" w:line="264" w:lineRule="exact"/>
        <w:rPr>
          <w:rFonts w:ascii="Times New Roman" w:hAnsi="Times New Roman"/>
          <w:sz w:val="24"/>
          <w:szCs w:val="24"/>
        </w:rPr>
      </w:pPr>
    </w:p>
    <w:p w:rsidR="00C35ED4" w:rsidRDefault="00C35ED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 la fecha de este informe la Empresa no contaba con litigios a favor ni en contra.</w:t>
      </w: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tbl>
      <w:tblPr>
        <w:tblW w:w="8699" w:type="dxa"/>
        <w:tblInd w:w="40" w:type="dxa"/>
        <w:tblLayout w:type="fixed"/>
        <w:tblCellMar>
          <w:left w:w="0" w:type="dxa"/>
          <w:right w:w="0" w:type="dxa"/>
        </w:tblCellMar>
        <w:tblLook w:val="0000" w:firstRow="0" w:lastRow="0" w:firstColumn="0" w:lastColumn="0" w:noHBand="0" w:noVBand="0"/>
      </w:tblPr>
      <w:tblGrid>
        <w:gridCol w:w="2545"/>
        <w:gridCol w:w="3400"/>
        <w:gridCol w:w="2754"/>
      </w:tblGrid>
      <w:tr w:rsidR="00C731BA" w:rsidTr="001C500A">
        <w:trPr>
          <w:trHeight w:val="258"/>
        </w:trPr>
        <w:tc>
          <w:tcPr>
            <w:tcW w:w="2545"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____________________</w:t>
            </w:r>
          </w:p>
        </w:tc>
        <w:tc>
          <w:tcPr>
            <w:tcW w:w="3400"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ind w:left="140"/>
              <w:rPr>
                <w:rFonts w:ascii="Times New Roman" w:hAnsi="Times New Roman"/>
                <w:sz w:val="24"/>
                <w:szCs w:val="24"/>
              </w:rPr>
            </w:pPr>
            <w:r>
              <w:rPr>
                <w:rFonts w:ascii="Times New Roman" w:hAnsi="Times New Roman"/>
                <w:b/>
                <w:bCs/>
                <w:sz w:val="23"/>
                <w:szCs w:val="23"/>
              </w:rPr>
              <w:t>__________________________</w:t>
            </w:r>
          </w:p>
        </w:tc>
        <w:tc>
          <w:tcPr>
            <w:tcW w:w="2754"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jc w:val="right"/>
              <w:rPr>
                <w:rFonts w:ascii="Times New Roman" w:hAnsi="Times New Roman"/>
                <w:sz w:val="24"/>
                <w:szCs w:val="24"/>
              </w:rPr>
            </w:pPr>
            <w:r>
              <w:rPr>
                <w:rFonts w:ascii="Times New Roman" w:hAnsi="Times New Roman"/>
                <w:b/>
                <w:bCs/>
                <w:sz w:val="23"/>
                <w:szCs w:val="23"/>
              </w:rPr>
              <w:t>______________________</w:t>
            </w:r>
          </w:p>
        </w:tc>
      </w:tr>
      <w:tr w:rsidR="00C731BA" w:rsidTr="001C500A">
        <w:trPr>
          <w:trHeight w:val="262"/>
        </w:trPr>
        <w:tc>
          <w:tcPr>
            <w:tcW w:w="2545" w:type="dxa"/>
            <w:tcBorders>
              <w:top w:val="nil"/>
              <w:left w:val="nil"/>
              <w:bottom w:val="nil"/>
              <w:right w:val="nil"/>
            </w:tcBorders>
            <w:vAlign w:val="bottom"/>
          </w:tcPr>
          <w:p w:rsidR="00C731BA" w:rsidRDefault="006363F3" w:rsidP="000866B7">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 xml:space="preserve">Warner Quesada </w:t>
            </w:r>
            <w:r w:rsidR="000866B7">
              <w:rPr>
                <w:rFonts w:ascii="Times New Roman" w:hAnsi="Times New Roman"/>
                <w:b/>
                <w:bCs/>
                <w:sz w:val="23"/>
                <w:szCs w:val="23"/>
              </w:rPr>
              <w:t>Meza</w:t>
            </w:r>
          </w:p>
        </w:tc>
        <w:tc>
          <w:tcPr>
            <w:tcW w:w="3400"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ind w:left="160"/>
              <w:rPr>
                <w:rFonts w:ascii="Times New Roman" w:hAnsi="Times New Roman"/>
                <w:sz w:val="24"/>
                <w:szCs w:val="24"/>
              </w:rPr>
            </w:pPr>
            <w:r>
              <w:rPr>
                <w:rFonts w:ascii="Times New Roman" w:hAnsi="Times New Roman"/>
                <w:b/>
                <w:bCs/>
                <w:sz w:val="23"/>
                <w:szCs w:val="23"/>
              </w:rPr>
              <w:t>Vladimir Guzmán Sánchez</w:t>
            </w:r>
          </w:p>
        </w:tc>
        <w:tc>
          <w:tcPr>
            <w:tcW w:w="2754"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3"/>
                <w:szCs w:val="23"/>
              </w:rPr>
              <w:t>Verny Moya Cordero</w:t>
            </w:r>
          </w:p>
        </w:tc>
      </w:tr>
      <w:tr w:rsidR="00C731BA" w:rsidTr="001C500A">
        <w:trPr>
          <w:trHeight w:val="258"/>
        </w:trPr>
        <w:tc>
          <w:tcPr>
            <w:tcW w:w="2545"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Gerente General</w:t>
            </w:r>
          </w:p>
        </w:tc>
        <w:tc>
          <w:tcPr>
            <w:tcW w:w="3400"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ind w:left="680"/>
              <w:rPr>
                <w:rFonts w:ascii="Times New Roman" w:hAnsi="Times New Roman"/>
                <w:sz w:val="24"/>
                <w:szCs w:val="24"/>
              </w:rPr>
            </w:pPr>
            <w:r>
              <w:rPr>
                <w:rFonts w:ascii="Times New Roman" w:hAnsi="Times New Roman"/>
                <w:b/>
                <w:bCs/>
                <w:sz w:val="23"/>
                <w:szCs w:val="23"/>
              </w:rPr>
              <w:t>Auditor Interno</w:t>
            </w:r>
          </w:p>
        </w:tc>
        <w:tc>
          <w:tcPr>
            <w:tcW w:w="2754" w:type="dxa"/>
            <w:tcBorders>
              <w:top w:val="nil"/>
              <w:left w:val="nil"/>
              <w:bottom w:val="nil"/>
              <w:right w:val="nil"/>
            </w:tcBorders>
            <w:vAlign w:val="bottom"/>
          </w:tcPr>
          <w:p w:rsidR="00C731BA" w:rsidRDefault="00C731BA" w:rsidP="00325FE1">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sz w:val="23"/>
                <w:szCs w:val="23"/>
              </w:rPr>
              <w:t>Contador General</w:t>
            </w:r>
          </w:p>
        </w:tc>
      </w:tr>
    </w:tbl>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p w:rsidR="00C35ED4" w:rsidRDefault="00C35ED4">
      <w:pPr>
        <w:widowControl w:val="0"/>
        <w:autoSpaceDE w:val="0"/>
        <w:autoSpaceDN w:val="0"/>
        <w:adjustRightInd w:val="0"/>
        <w:spacing w:after="0" w:line="200" w:lineRule="exact"/>
        <w:rPr>
          <w:rFonts w:ascii="Times New Roman" w:hAnsi="Times New Roman"/>
          <w:sz w:val="24"/>
          <w:szCs w:val="24"/>
        </w:rPr>
      </w:pPr>
    </w:p>
    <w:sectPr w:rsidR="00C35ED4">
      <w:pgSz w:w="12240" w:h="15844"/>
      <w:pgMar w:top="706" w:right="1760" w:bottom="698" w:left="1760" w:header="720" w:footer="720" w:gutter="0"/>
      <w:cols w:space="720" w:equalWidth="0">
        <w:col w:w="8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D3" w:rsidRDefault="00856AD3" w:rsidP="00397282">
      <w:pPr>
        <w:spacing w:after="0" w:line="240" w:lineRule="auto"/>
      </w:pPr>
      <w:r>
        <w:separator/>
      </w:r>
    </w:p>
  </w:endnote>
  <w:endnote w:type="continuationSeparator" w:id="0">
    <w:p w:rsidR="00856AD3" w:rsidRDefault="00856AD3" w:rsidP="0039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E5" w:rsidRDefault="00F723E5">
    <w:pPr>
      <w:pStyle w:val="Piedepgina"/>
      <w:jc w:val="right"/>
    </w:pPr>
    <w:r>
      <w:fldChar w:fldCharType="begin"/>
    </w:r>
    <w:r>
      <w:instrText>PAGE   \* MERGEFORMAT</w:instrText>
    </w:r>
    <w:r>
      <w:fldChar w:fldCharType="separate"/>
    </w:r>
    <w:r w:rsidR="00637015" w:rsidRPr="00637015">
      <w:rPr>
        <w:noProof/>
        <w:lang w:val="es-ES"/>
      </w:rPr>
      <w:t>12</w:t>
    </w:r>
    <w:r>
      <w:fldChar w:fldCharType="end"/>
    </w:r>
  </w:p>
  <w:p w:rsidR="00F723E5" w:rsidRDefault="00F72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D3" w:rsidRDefault="00856AD3" w:rsidP="00397282">
      <w:pPr>
        <w:spacing w:after="0" w:line="240" w:lineRule="auto"/>
      </w:pPr>
      <w:r>
        <w:separator/>
      </w:r>
    </w:p>
  </w:footnote>
  <w:footnote w:type="continuationSeparator" w:id="0">
    <w:p w:rsidR="00856AD3" w:rsidRDefault="00856AD3" w:rsidP="0039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E5" w:rsidRDefault="00F723E5" w:rsidP="00397282">
    <w:pPr>
      <w:rPr>
        <w:color w:val="1F497D"/>
      </w:rPr>
    </w:pPr>
    <w:r>
      <w:rPr>
        <w:noProof/>
        <w:color w:val="1F497D"/>
      </w:rPr>
      <w:drawing>
        <wp:inline distT="0" distB="0" distL="0" distR="0">
          <wp:extent cx="1790700" cy="476250"/>
          <wp:effectExtent l="0" t="0" r="0" b="0"/>
          <wp:docPr id="2" name="Imagen 2"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F723E5" w:rsidRPr="00DF0167" w:rsidRDefault="00F723E5" w:rsidP="00397282">
    <w:pPr>
      <w:spacing w:after="0" w:line="240" w:lineRule="auto"/>
      <w:rPr>
        <w:color w:val="1F497D"/>
        <w:sz w:val="18"/>
        <w:szCs w:val="18"/>
      </w:rPr>
    </w:pPr>
    <w:r w:rsidRPr="00DF0167">
      <w:rPr>
        <w:color w:val="1F497D"/>
        <w:sz w:val="18"/>
        <w:szCs w:val="18"/>
      </w:rPr>
      <w:t xml:space="preserve">Tels. </w:t>
    </w:r>
    <w:proofErr w:type="spellStart"/>
    <w:r w:rsidRPr="00DF0167">
      <w:rPr>
        <w:color w:val="1F497D"/>
        <w:sz w:val="18"/>
        <w:szCs w:val="18"/>
      </w:rPr>
      <w:t>ofic</w:t>
    </w:r>
    <w:proofErr w:type="spellEnd"/>
    <w:proofErr w:type="gramStart"/>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F723E5" w:rsidRPr="00DF0167" w:rsidRDefault="00F723E5" w:rsidP="00397282">
    <w:pPr>
      <w:spacing w:after="0" w:line="240" w:lineRule="auto"/>
      <w:rPr>
        <w:color w:val="1F497D"/>
        <w:sz w:val="18"/>
        <w:szCs w:val="18"/>
      </w:rPr>
    </w:pPr>
    <w:r w:rsidRPr="00DF0167">
      <w:rPr>
        <w:color w:val="1F497D"/>
        <w:sz w:val="18"/>
        <w:szCs w:val="18"/>
      </w:rPr>
      <w:t>Apartado Postal 102-1200 Pavas, 10109 San José, Costa Rica.</w:t>
    </w:r>
  </w:p>
  <w:p w:rsidR="00F723E5" w:rsidRPr="00DF0167" w:rsidRDefault="00F723E5" w:rsidP="00397282">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E"/>
    <w:rsid w:val="00014E2B"/>
    <w:rsid w:val="00022B9A"/>
    <w:rsid w:val="00044DD3"/>
    <w:rsid w:val="00071F04"/>
    <w:rsid w:val="000866B7"/>
    <w:rsid w:val="000C00B4"/>
    <w:rsid w:val="000F3B8E"/>
    <w:rsid w:val="00100DD1"/>
    <w:rsid w:val="001554AD"/>
    <w:rsid w:val="001C500A"/>
    <w:rsid w:val="001D6850"/>
    <w:rsid w:val="001F003A"/>
    <w:rsid w:val="00205330"/>
    <w:rsid w:val="00210571"/>
    <w:rsid w:val="00265FDC"/>
    <w:rsid w:val="00286EFA"/>
    <w:rsid w:val="002A0B0F"/>
    <w:rsid w:val="00324385"/>
    <w:rsid w:val="00325FE1"/>
    <w:rsid w:val="00326183"/>
    <w:rsid w:val="00365753"/>
    <w:rsid w:val="00397282"/>
    <w:rsid w:val="003E0E60"/>
    <w:rsid w:val="003E16B4"/>
    <w:rsid w:val="003E60C3"/>
    <w:rsid w:val="004133DE"/>
    <w:rsid w:val="00421643"/>
    <w:rsid w:val="0042270F"/>
    <w:rsid w:val="00427431"/>
    <w:rsid w:val="00463D8E"/>
    <w:rsid w:val="00486020"/>
    <w:rsid w:val="004926DD"/>
    <w:rsid w:val="00497B62"/>
    <w:rsid w:val="00503F25"/>
    <w:rsid w:val="00534DC2"/>
    <w:rsid w:val="00555057"/>
    <w:rsid w:val="00570C6C"/>
    <w:rsid w:val="0058298C"/>
    <w:rsid w:val="00603D45"/>
    <w:rsid w:val="006059E5"/>
    <w:rsid w:val="00613131"/>
    <w:rsid w:val="00632FF8"/>
    <w:rsid w:val="006363F3"/>
    <w:rsid w:val="00637015"/>
    <w:rsid w:val="006879F8"/>
    <w:rsid w:val="006A19F4"/>
    <w:rsid w:val="00700ACD"/>
    <w:rsid w:val="00710B39"/>
    <w:rsid w:val="00723990"/>
    <w:rsid w:val="007773FD"/>
    <w:rsid w:val="007B447B"/>
    <w:rsid w:val="007F1FEB"/>
    <w:rsid w:val="00823226"/>
    <w:rsid w:val="00856AD3"/>
    <w:rsid w:val="00856B18"/>
    <w:rsid w:val="00864A6C"/>
    <w:rsid w:val="00890EE3"/>
    <w:rsid w:val="008957BE"/>
    <w:rsid w:val="008D06AB"/>
    <w:rsid w:val="0095308C"/>
    <w:rsid w:val="009639E3"/>
    <w:rsid w:val="00964C3D"/>
    <w:rsid w:val="00972FF3"/>
    <w:rsid w:val="009B6B7F"/>
    <w:rsid w:val="00A1449F"/>
    <w:rsid w:val="00A837CF"/>
    <w:rsid w:val="00A87203"/>
    <w:rsid w:val="00A9179C"/>
    <w:rsid w:val="00AD0759"/>
    <w:rsid w:val="00B12402"/>
    <w:rsid w:val="00B2271F"/>
    <w:rsid w:val="00B41778"/>
    <w:rsid w:val="00B42E34"/>
    <w:rsid w:val="00BA0DAB"/>
    <w:rsid w:val="00BB6383"/>
    <w:rsid w:val="00C10B49"/>
    <w:rsid w:val="00C20F35"/>
    <w:rsid w:val="00C21847"/>
    <w:rsid w:val="00C35ED4"/>
    <w:rsid w:val="00C731BA"/>
    <w:rsid w:val="00CF4382"/>
    <w:rsid w:val="00D57486"/>
    <w:rsid w:val="00DA6011"/>
    <w:rsid w:val="00DC6AC6"/>
    <w:rsid w:val="00DF0167"/>
    <w:rsid w:val="00E340B3"/>
    <w:rsid w:val="00EB5D5B"/>
    <w:rsid w:val="00EF1BB2"/>
    <w:rsid w:val="00F13688"/>
    <w:rsid w:val="00F20067"/>
    <w:rsid w:val="00F3211F"/>
    <w:rsid w:val="00F723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CR" w:eastAsia="es-C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1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282"/>
    <w:pPr>
      <w:tabs>
        <w:tab w:val="center" w:pos="4419"/>
        <w:tab w:val="right" w:pos="8838"/>
      </w:tabs>
    </w:pPr>
  </w:style>
  <w:style w:type="character" w:customStyle="1" w:styleId="EncabezadoCar">
    <w:name w:val="Encabezado Car"/>
    <w:basedOn w:val="Fuentedeprrafopredeter"/>
    <w:link w:val="Encabezado"/>
    <w:uiPriority w:val="99"/>
    <w:locked/>
    <w:rsid w:val="00397282"/>
    <w:rPr>
      <w:rFonts w:cs="Times New Roman"/>
    </w:rPr>
  </w:style>
  <w:style w:type="paragraph" w:styleId="Piedepgina">
    <w:name w:val="footer"/>
    <w:basedOn w:val="Normal"/>
    <w:link w:val="PiedepginaCar"/>
    <w:uiPriority w:val="99"/>
    <w:unhideWhenUsed/>
    <w:rsid w:val="00397282"/>
    <w:pPr>
      <w:tabs>
        <w:tab w:val="center" w:pos="4419"/>
        <w:tab w:val="right" w:pos="8838"/>
      </w:tabs>
    </w:pPr>
  </w:style>
  <w:style w:type="character" w:customStyle="1" w:styleId="PiedepginaCar">
    <w:name w:val="Pie de página Car"/>
    <w:basedOn w:val="Fuentedeprrafopredeter"/>
    <w:link w:val="Piedepgina"/>
    <w:uiPriority w:val="99"/>
    <w:locked/>
    <w:rsid w:val="00397282"/>
    <w:rPr>
      <w:rFonts w:cs="Times New Roman"/>
    </w:rPr>
  </w:style>
  <w:style w:type="character" w:styleId="Hipervnculo">
    <w:name w:val="Hyperlink"/>
    <w:basedOn w:val="Fuentedeprrafopredeter"/>
    <w:uiPriority w:val="99"/>
    <w:semiHidden/>
    <w:unhideWhenUsed/>
    <w:rsid w:val="00397282"/>
    <w:rPr>
      <w:rFonts w:cs="Times New Roman"/>
      <w:color w:val="0563C1"/>
      <w:u w:val="single"/>
    </w:rPr>
  </w:style>
  <w:style w:type="paragraph" w:styleId="Textodeglobo">
    <w:name w:val="Balloon Text"/>
    <w:basedOn w:val="Normal"/>
    <w:link w:val="TextodegloboCar"/>
    <w:uiPriority w:val="99"/>
    <w:semiHidden/>
    <w:unhideWhenUsed/>
    <w:rsid w:val="00486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020"/>
    <w:rPr>
      <w:rFonts w:ascii="Tahoma" w:hAnsi="Tahoma" w:cs="Tahoma"/>
      <w:sz w:val="16"/>
      <w:szCs w:val="16"/>
    </w:rPr>
  </w:style>
  <w:style w:type="paragraph" w:styleId="Prrafodelista">
    <w:name w:val="List Paragraph"/>
    <w:basedOn w:val="Normal"/>
    <w:uiPriority w:val="34"/>
    <w:qFormat/>
    <w:rsid w:val="00777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CR" w:eastAsia="es-C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1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282"/>
    <w:pPr>
      <w:tabs>
        <w:tab w:val="center" w:pos="4419"/>
        <w:tab w:val="right" w:pos="8838"/>
      </w:tabs>
    </w:pPr>
  </w:style>
  <w:style w:type="character" w:customStyle="1" w:styleId="EncabezadoCar">
    <w:name w:val="Encabezado Car"/>
    <w:basedOn w:val="Fuentedeprrafopredeter"/>
    <w:link w:val="Encabezado"/>
    <w:uiPriority w:val="99"/>
    <w:locked/>
    <w:rsid w:val="00397282"/>
    <w:rPr>
      <w:rFonts w:cs="Times New Roman"/>
    </w:rPr>
  </w:style>
  <w:style w:type="paragraph" w:styleId="Piedepgina">
    <w:name w:val="footer"/>
    <w:basedOn w:val="Normal"/>
    <w:link w:val="PiedepginaCar"/>
    <w:uiPriority w:val="99"/>
    <w:unhideWhenUsed/>
    <w:rsid w:val="00397282"/>
    <w:pPr>
      <w:tabs>
        <w:tab w:val="center" w:pos="4419"/>
        <w:tab w:val="right" w:pos="8838"/>
      </w:tabs>
    </w:pPr>
  </w:style>
  <w:style w:type="character" w:customStyle="1" w:styleId="PiedepginaCar">
    <w:name w:val="Pie de página Car"/>
    <w:basedOn w:val="Fuentedeprrafopredeter"/>
    <w:link w:val="Piedepgina"/>
    <w:uiPriority w:val="99"/>
    <w:locked/>
    <w:rsid w:val="00397282"/>
    <w:rPr>
      <w:rFonts w:cs="Times New Roman"/>
    </w:rPr>
  </w:style>
  <w:style w:type="character" w:styleId="Hipervnculo">
    <w:name w:val="Hyperlink"/>
    <w:basedOn w:val="Fuentedeprrafopredeter"/>
    <w:uiPriority w:val="99"/>
    <w:semiHidden/>
    <w:unhideWhenUsed/>
    <w:rsid w:val="00397282"/>
    <w:rPr>
      <w:rFonts w:cs="Times New Roman"/>
      <w:color w:val="0563C1"/>
      <w:u w:val="single"/>
    </w:rPr>
  </w:style>
  <w:style w:type="paragraph" w:styleId="Textodeglobo">
    <w:name w:val="Balloon Text"/>
    <w:basedOn w:val="Normal"/>
    <w:link w:val="TextodegloboCar"/>
    <w:uiPriority w:val="99"/>
    <w:semiHidden/>
    <w:unhideWhenUsed/>
    <w:rsid w:val="00486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020"/>
    <w:rPr>
      <w:rFonts w:ascii="Tahoma" w:hAnsi="Tahoma" w:cs="Tahoma"/>
      <w:sz w:val="16"/>
      <w:szCs w:val="16"/>
    </w:rPr>
  </w:style>
  <w:style w:type="paragraph" w:styleId="Prrafodelista">
    <w:name w:val="List Paragraph"/>
    <w:basedOn w:val="Normal"/>
    <w:uiPriority w:val="34"/>
    <w:qFormat/>
    <w:rsid w:val="00777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346">
      <w:marLeft w:val="0"/>
      <w:marRight w:val="0"/>
      <w:marTop w:val="0"/>
      <w:marBottom w:val="0"/>
      <w:divBdr>
        <w:top w:val="none" w:sz="0" w:space="0" w:color="auto"/>
        <w:left w:val="none" w:sz="0" w:space="0" w:color="auto"/>
        <w:bottom w:val="none" w:sz="0" w:space="0" w:color="auto"/>
        <w:right w:val="none" w:sz="0" w:space="0" w:color="auto"/>
      </w:divBdr>
    </w:div>
    <w:div w:id="1094472327">
      <w:bodyDiv w:val="1"/>
      <w:marLeft w:val="0"/>
      <w:marRight w:val="0"/>
      <w:marTop w:val="0"/>
      <w:marBottom w:val="0"/>
      <w:divBdr>
        <w:top w:val="none" w:sz="0" w:space="0" w:color="auto"/>
        <w:left w:val="none" w:sz="0" w:space="0" w:color="auto"/>
        <w:bottom w:val="none" w:sz="0" w:space="0" w:color="auto"/>
        <w:right w:val="none" w:sz="0" w:space="0" w:color="auto"/>
      </w:divBdr>
    </w:div>
    <w:div w:id="11266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A8F0-A785-4DFA-99B0-4D894D7B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3306</Words>
  <Characters>18189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USER</cp:lastModifiedBy>
  <cp:revision>3</cp:revision>
  <cp:lastPrinted>2015-07-24T21:27:00Z</cp:lastPrinted>
  <dcterms:created xsi:type="dcterms:W3CDTF">2015-10-20T19:55:00Z</dcterms:created>
  <dcterms:modified xsi:type="dcterms:W3CDTF">2015-10-20T22:09:00Z</dcterms:modified>
</cp:coreProperties>
</file>