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5000" w:type="pct"/>
        <w:jc w:val="center"/>
        <w:tblCellSpacing w:w="0" w:type="dxa"/>
        <w:tblInd w:w="0" w:type="dxa"/>
        <w:tblCellMar>
          <w:left w:w="0" w:type="dxa"/>
          <w:right w:w="0" w:type="dxa"/>
        </w:tblCellMar>
        <w:tblLook w:val="04A0" w:firstRow="1" w:lastRow="0" w:firstColumn="1" w:lastColumn="0" w:noHBand="0" w:noVBand="1"/>
      </w:tblPr>
      <w:tblGrid>
        <w:gridCol w:w="8640"/>
      </w:tblGrid>
      <w:tr w:rsidR="00000000">
        <w:trPr>
          <w:tblCellSpacing w:w="0" w:type="dxa"/>
          <w:jc w:val="center"/>
        </w:trPr>
        <w:tc>
          <w:tcPr>
            <w:tcW w:w="0" w:type="auto"/>
            <w:shd w:val="clear" w:color="auto" w:fill="FFFFFF"/>
            <w:hideMark/>
          </w:tcPr>
          <w:tbl>
            <w:tblPr>
              <w:tblStyle w:val="TableNormal"/>
              <w:tblW w:w="5000" w:type="pct"/>
              <w:tblCellSpacing w:w="0" w:type="dxa"/>
              <w:tblInd w:w="0" w:type="dxa"/>
              <w:tblCellMar>
                <w:left w:w="0" w:type="dxa"/>
                <w:right w:w="0" w:type="dxa"/>
              </w:tblCellMar>
              <w:tblLook w:val="04A0" w:firstRow="1" w:lastRow="0" w:firstColumn="1" w:lastColumn="0" w:noHBand="0" w:noVBand="1"/>
            </w:tblPr>
            <w:tblGrid>
              <w:gridCol w:w="8640"/>
            </w:tblGrid>
            <w:tr w:rsidR="00000000">
              <w:trPr>
                <w:tblCellSpacing w:w="0" w:type="dxa"/>
              </w:trPr>
              <w:tc>
                <w:tcPr>
                  <w:tcW w:w="5000" w:type="pct"/>
                  <w:vAlign w:val="center"/>
                  <w:hideMark/>
                </w:tcPr>
                <w:tbl>
                  <w:tblPr>
                    <w:tblStyle w:val="TableNormal"/>
                    <w:tblW w:w="5000" w:type="pct"/>
                    <w:tblCellSpacing w:w="0" w:type="dxa"/>
                    <w:tblInd w:w="0" w:type="dxa"/>
                    <w:tblCellMar>
                      <w:left w:w="0" w:type="dxa"/>
                      <w:right w:w="0" w:type="dxa"/>
                    </w:tblCellMar>
                    <w:tblLook w:val="04A0" w:firstRow="1" w:lastRow="0" w:firstColumn="1" w:lastColumn="0" w:noHBand="0" w:noVBand="1"/>
                  </w:tblPr>
                  <w:tblGrid>
                    <w:gridCol w:w="8640"/>
                  </w:tblGrid>
                  <w:tr w:rsidR="00000000">
                    <w:trPr>
                      <w:tblCellSpacing w:w="0" w:type="dxa"/>
                    </w:trPr>
                    <w:tc>
                      <w:tcPr>
                        <w:tcW w:w="3945" w:type="dxa"/>
                        <w:vAlign w:val="center"/>
                        <w:hideMark/>
                      </w:tcPr>
                      <w:p w:rsidR="00000000" w:rsidRDefault="00E5110E">
                        <w:pPr>
                          <w:rPr>
                            <w:color w:val="4B4B4B"/>
                          </w:rPr>
                        </w:pPr>
                        <w:r>
                          <w:rPr>
                            <w:color w:val="4B4B4B"/>
                          </w:rPr>
                          <w:fldChar w:fldCharType="begin"/>
                        </w:r>
                        <w:r>
                          <w:rPr>
                            <w:color w:val="4B4B4B"/>
                          </w:rPr>
                          <w:instrText xml:space="preserve"> </w:instrText>
                        </w:r>
                        <w:r>
                          <w:rPr>
                            <w:color w:val="4B4B4B"/>
                          </w:rPr>
                          <w:instrText>INCLUDEPICTURE  \d "http://myinsight.globalinsight.com/imgs/pageheader/mast_logo.gif" \* MERGEFORMATINET</w:instrText>
                        </w:r>
                        <w:r>
                          <w:rPr>
                            <w:color w:val="4B4B4B"/>
                          </w:rPr>
                          <w:instrText xml:space="preserve"> </w:instrText>
                        </w:r>
                        <w:r>
                          <w:rPr>
                            <w:color w:val="4B4B4B"/>
                          </w:rPr>
                          <w:fldChar w:fldCharType="separate"/>
                        </w:r>
                        <w:r>
                          <w:rPr>
                            <w:noProof/>
                            <w:color w:val="4B4B4B"/>
                          </w:rPr>
                          <w:drawing>
                            <wp:inline distT="0" distB="0" distL="0" distR="0">
                              <wp:extent cx="3161030" cy="101600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161030" cy="1016000"/>
                                      </a:xfrm>
                                      <a:prstGeom prst="rect">
                                        <a:avLst/>
                                      </a:prstGeom>
                                      <a:noFill/>
                                      <a:ln>
                                        <a:noFill/>
                                      </a:ln>
                                    </pic:spPr>
                                  </pic:pic>
                                </a:graphicData>
                              </a:graphic>
                            </wp:inline>
                          </w:drawing>
                        </w:r>
                        <w:r>
                          <w:rPr>
                            <w:color w:val="4B4B4B"/>
                          </w:rPr>
                          <w:fldChar w:fldCharType="end"/>
                        </w:r>
                      </w:p>
                    </w:tc>
                  </w:tr>
                </w:tbl>
                <w:p w:rsidR="00000000" w:rsidRDefault="00E5110E">
                  <w:pPr>
                    <w:rPr>
                      <w:color w:val="4B4B4B"/>
                    </w:rPr>
                  </w:pPr>
                </w:p>
              </w:tc>
            </w:tr>
            <w:tr w:rsidR="00000000">
              <w:trPr>
                <w:tblCellSpacing w:w="0" w:type="dxa"/>
              </w:trPr>
              <w:tc>
                <w:tcPr>
                  <w:tcW w:w="0" w:type="auto"/>
                  <w:hideMark/>
                </w:tcPr>
                <w:tbl>
                  <w:tblPr>
                    <w:tblStyle w:val="TableNormal"/>
                    <w:tblW w:w="5000" w:type="pct"/>
                    <w:tblCellSpacing w:w="0" w:type="dxa"/>
                    <w:tblInd w:w="0" w:type="dxa"/>
                    <w:tblCellMar>
                      <w:left w:w="0" w:type="dxa"/>
                      <w:right w:w="0" w:type="dxa"/>
                    </w:tblCellMar>
                    <w:tblLook w:val="04A0" w:firstRow="1" w:lastRow="0" w:firstColumn="1" w:lastColumn="0" w:noHBand="0" w:noVBand="1"/>
                  </w:tblPr>
                  <w:tblGrid>
                    <w:gridCol w:w="8640"/>
                  </w:tblGrid>
                  <w:tr w:rsidR="00000000">
                    <w:trPr>
                      <w:tblCellSpacing w:w="0" w:type="dxa"/>
                    </w:trPr>
                    <w:tc>
                      <w:tcPr>
                        <w:tcW w:w="5000" w:type="pct"/>
                        <w:hideMark/>
                      </w:tcPr>
                      <w:tbl>
                        <w:tblPr>
                          <w:tblStyle w:val="TableNormal"/>
                          <w:tblW w:w="5000" w:type="pct"/>
                          <w:tblCellSpacing w:w="0" w:type="dxa"/>
                          <w:tblInd w:w="0" w:type="dxa"/>
                          <w:tblCellMar>
                            <w:left w:w="0" w:type="dxa"/>
                            <w:right w:w="0" w:type="dxa"/>
                          </w:tblCellMar>
                          <w:tblLook w:val="04A0" w:firstRow="1" w:lastRow="0" w:firstColumn="1" w:lastColumn="0" w:noHBand="0" w:noVBand="1"/>
                        </w:tblPr>
                        <w:tblGrid>
                          <w:gridCol w:w="8640"/>
                        </w:tblGrid>
                        <w:tr w:rsidR="00000000">
                          <w:trPr>
                            <w:tblCellSpacing w:w="0" w:type="dxa"/>
                          </w:trPr>
                          <w:tc>
                            <w:tcPr>
                              <w:tcW w:w="5000" w:type="pct"/>
                              <w:vAlign w:val="center"/>
                              <w:hideMark/>
                            </w:tcPr>
                            <w:tbl>
                              <w:tblPr>
                                <w:tblStyle w:val="TableNormal"/>
                                <w:tblW w:w="5000" w:type="pct"/>
                                <w:tblCellSpacing w:w="0" w:type="dxa"/>
                                <w:tblInd w:w="0" w:type="dxa"/>
                                <w:tblCellMar>
                                  <w:left w:w="0" w:type="dxa"/>
                                  <w:right w:w="0" w:type="dxa"/>
                                </w:tblCellMar>
                                <w:tblLook w:val="04A0" w:firstRow="1" w:lastRow="0" w:firstColumn="1" w:lastColumn="0" w:noHBand="0" w:noVBand="1"/>
                              </w:tblPr>
                              <w:tblGrid>
                                <w:gridCol w:w="8640"/>
                              </w:tblGrid>
                              <w:tr w:rsidR="00000000">
                                <w:trPr>
                                  <w:tblCellSpacing w:w="0" w:type="dxa"/>
                                </w:trPr>
                                <w:tc>
                                  <w:tcPr>
                                    <w:tcW w:w="5000" w:type="pct"/>
                                    <w:tcMar>
                                      <w:top w:w="30" w:type="dxa"/>
                                      <w:left w:w="30" w:type="dxa"/>
                                      <w:bottom w:w="30" w:type="dxa"/>
                                      <w:right w:w="30" w:type="dxa"/>
                                    </w:tcMar>
                                    <w:vAlign w:val="center"/>
                                    <w:hideMark/>
                                  </w:tcPr>
                                  <w:tbl>
                                    <w:tblPr>
                                      <w:tblStyle w:val="TableNormal"/>
                                      <w:tblW w:w="5000" w:type="pct"/>
                                      <w:tblCellSpacing w:w="0" w:type="dxa"/>
                                      <w:tblInd w:w="0" w:type="dxa"/>
                                      <w:tblCellMar>
                                        <w:left w:w="0" w:type="dxa"/>
                                        <w:right w:w="0" w:type="dxa"/>
                                      </w:tblCellMar>
                                      <w:tblLook w:val="04A0" w:firstRow="1" w:lastRow="0" w:firstColumn="1" w:lastColumn="0" w:noHBand="0" w:noVBand="1"/>
                                    </w:tblPr>
                                    <w:tblGrid>
                                      <w:gridCol w:w="8580"/>
                                    </w:tblGrid>
                                    <w:tr w:rsidR="00000000">
                                      <w:trPr>
                                        <w:trHeight w:val="510"/>
                                        <w:tblCellSpacing w:w="0" w:type="dxa"/>
                                      </w:trPr>
                                      <w:tc>
                                        <w:tcPr>
                                          <w:tcW w:w="0" w:type="auto"/>
                                          <w:vAlign w:val="center"/>
                                          <w:hideMark/>
                                        </w:tcPr>
                                        <w:tbl>
                                          <w:tblPr>
                                            <w:tblStyle w:val="TableNormal"/>
                                            <w:tblW w:w="5000" w:type="pct"/>
                                            <w:tblCellSpacing w:w="0" w:type="dxa"/>
                                            <w:tblInd w:w="0" w:type="dxa"/>
                                            <w:tblCellMar>
                                              <w:left w:w="0" w:type="dxa"/>
                                              <w:right w:w="0" w:type="dxa"/>
                                            </w:tblCellMar>
                                            <w:tblLook w:val="04A0" w:firstRow="1" w:lastRow="0" w:firstColumn="1" w:lastColumn="0" w:noHBand="0" w:noVBand="1"/>
                                          </w:tblPr>
                                          <w:tblGrid>
                                            <w:gridCol w:w="83"/>
                                            <w:gridCol w:w="5826"/>
                                            <w:gridCol w:w="2551"/>
                                            <w:gridCol w:w="120"/>
                                          </w:tblGrid>
                                          <w:tr w:rsidR="00000000">
                                            <w:trPr>
                                              <w:tblCellSpacing w:w="0" w:type="dxa"/>
                                            </w:trPr>
                                            <w:tc>
                                              <w:tcPr>
                                                <w:tcW w:w="0" w:type="auto"/>
                                                <w:vAlign w:val="center"/>
                                                <w:hideMark/>
                                              </w:tcPr>
                                              <w:p w:rsidR="00000000" w:rsidRDefault="00E5110E">
                                                <w:pPr>
                                                  <w:rPr>
                                                    <w:rFonts w:ascii="Verdana" w:hAnsi="Verdana"/>
                                                    <w:b/>
                                                    <w:bCs/>
                                                    <w:color w:val="961833"/>
                                                  </w:rPr>
                                                </w:pPr>
                                                <w:r>
                                                  <w:rPr>
                                                    <w:rFonts w:ascii="Verdana" w:hAnsi="Verdana"/>
                                                    <w:b/>
                                                    <w:bCs/>
                                                    <w:color w:val="961833"/>
                                                  </w:rPr>
                                                  <w:t> </w:t>
                                                </w:r>
                                              </w:p>
                                            </w:tc>
                                            <w:tc>
                                              <w:tcPr>
                                                <w:tcW w:w="5000" w:type="pct"/>
                                                <w:vAlign w:val="center"/>
                                                <w:hideMark/>
                                              </w:tcPr>
                                              <w:p w:rsidR="00000000" w:rsidRDefault="00E5110E">
                                                <w:pPr>
                                                  <w:rPr>
                                                    <w:rFonts w:ascii="Verdana" w:hAnsi="Verdana"/>
                                                    <w:b/>
                                                    <w:bCs/>
                                                    <w:color w:val="961833"/>
                                                  </w:rPr>
                                                </w:pPr>
                                                <w:r>
                                                  <w:rPr>
                                                    <w:rFonts w:ascii="Verdana" w:hAnsi="Verdana"/>
                                                    <w:b/>
                                                    <w:bCs/>
                                                    <w:color w:val="961833"/>
                                                  </w:rPr>
                                                  <w:t>Telecoms - Sector Analysis</w:t>
                                                </w:r>
                                              </w:p>
                                            </w:tc>
                                            <w:tc>
                                              <w:tcPr>
                                                <w:tcW w:w="1000" w:type="pct"/>
                                                <w:noWrap/>
                                                <w:vAlign w:val="center"/>
                                                <w:hideMark/>
                                              </w:tcPr>
                                              <w:p w:rsidR="00000000" w:rsidRDefault="00E5110E">
                                                <w:pPr>
                                                  <w:jc w:val="right"/>
                                                  <w:rPr>
                                                    <w:color w:val="4B4B4B"/>
                                                  </w:rPr>
                                                </w:pPr>
                                                <w:r>
                                                  <w:rPr>
                                                    <w:rStyle w:val="titlebartext1"/>
                                                  </w:rPr>
                                                  <w:t>Published: Wed 20 Dec 2006</w:t>
                                                </w:r>
                                                <w:r>
                                                  <w:rPr>
                                                    <w:color w:val="4B4B4B"/>
                                                  </w:rPr>
                                                  <w:t>  </w:t>
                                                </w:r>
                                              </w:p>
                                            </w:tc>
                                            <w:tc>
                                              <w:tcPr>
                                                <w:tcW w:w="0" w:type="auto"/>
                                                <w:vAlign w:val="center"/>
                                                <w:hideMark/>
                                              </w:tcPr>
                                              <w:p w:rsidR="00000000" w:rsidRDefault="00E5110E">
                                                <w:pPr>
                                                  <w:jc w:val="right"/>
                                                  <w:rPr>
                                                    <w:color w:val="4B4B4B"/>
                                                  </w:rPr>
                                                </w:pPr>
                                                <w:r>
                                                  <w:rPr>
                                                    <w:color w:val="4B4B4B"/>
                                                  </w:rPr>
                                                  <w:t>  </w:t>
                                                </w:r>
                                              </w:p>
                                            </w:tc>
                                          </w:tr>
                                        </w:tbl>
                                        <w:p w:rsidR="00000000" w:rsidRDefault="00E5110E">
                                          <w:pPr>
                                            <w:rPr>
                                              <w:color w:val="4B4B4B"/>
                                            </w:rPr>
                                          </w:pPr>
                                        </w:p>
                                      </w:tc>
                                    </w:tr>
                                  </w:tbl>
                                  <w:p w:rsidR="00000000" w:rsidRDefault="00E5110E">
                                    <w:pPr>
                                      <w:rPr>
                                        <w:color w:val="4B4B4B"/>
                                      </w:rPr>
                                    </w:pPr>
                                  </w:p>
                                </w:tc>
                              </w:tr>
                              <w:tr w:rsidR="00000000">
                                <w:trPr>
                                  <w:tblCellSpacing w:w="0" w:type="dxa"/>
                                </w:trPr>
                                <w:tc>
                                  <w:tcPr>
                                    <w:tcW w:w="0" w:type="auto"/>
                                    <w:tcMar>
                                      <w:top w:w="30" w:type="dxa"/>
                                      <w:left w:w="30" w:type="dxa"/>
                                      <w:bottom w:w="30" w:type="dxa"/>
                                      <w:right w:w="30" w:type="dxa"/>
                                    </w:tcMar>
                                    <w:vAlign w:val="center"/>
                                    <w:hideMark/>
                                  </w:tcPr>
                                  <w:tbl>
                                    <w:tblPr>
                                      <w:tblStyle w:val="TableNormal"/>
                                      <w:tblW w:w="5000" w:type="pct"/>
                                      <w:tblCellSpacing w:w="0" w:type="dxa"/>
                                      <w:tblInd w:w="0" w:type="dxa"/>
                                      <w:tblCellMar>
                                        <w:left w:w="0" w:type="dxa"/>
                                        <w:right w:w="0" w:type="dxa"/>
                                      </w:tblCellMar>
                                      <w:tblLook w:val="04A0" w:firstRow="1" w:lastRow="0" w:firstColumn="1" w:lastColumn="0" w:noHBand="0" w:noVBand="1"/>
                                    </w:tblPr>
                                    <w:tblGrid>
                                      <w:gridCol w:w="8580"/>
                                    </w:tblGrid>
                                    <w:tr w:rsidR="00000000">
                                      <w:trPr>
                                        <w:tblCellSpacing w:w="0" w:type="dxa"/>
                                      </w:trPr>
                                      <w:tc>
                                        <w:tcPr>
                                          <w:tcW w:w="0" w:type="auto"/>
                                          <w:tcMar>
                                            <w:top w:w="45" w:type="dxa"/>
                                            <w:left w:w="45" w:type="dxa"/>
                                            <w:bottom w:w="45" w:type="dxa"/>
                                            <w:right w:w="45" w:type="dxa"/>
                                          </w:tcMar>
                                          <w:vAlign w:val="center"/>
                                          <w:hideMark/>
                                        </w:tcPr>
                                        <w:tbl>
                                          <w:tblPr>
                                            <w:tblStyle w:val="TableNormal"/>
                                            <w:tblW w:w="5000" w:type="pct"/>
                                            <w:tblCellSpacing w:w="0" w:type="dxa"/>
                                            <w:tblInd w:w="0" w:type="dxa"/>
                                            <w:tblCellMar>
                                              <w:left w:w="0" w:type="dxa"/>
                                              <w:right w:w="0" w:type="dxa"/>
                                            </w:tblCellMar>
                                            <w:tblLook w:val="04A0" w:firstRow="1" w:lastRow="0" w:firstColumn="1" w:lastColumn="0" w:noHBand="0" w:noVBand="1"/>
                                          </w:tblPr>
                                          <w:tblGrid>
                                            <w:gridCol w:w="8490"/>
                                          </w:tblGrid>
                                          <w:tr w:rsidR="00000000">
                                            <w:trPr>
                                              <w:tblCellSpacing w:w="0" w:type="dxa"/>
                                            </w:trPr>
                                            <w:tc>
                                              <w:tcPr>
                                                <w:tcW w:w="5000" w:type="pct"/>
                                                <w:tcMar>
                                                  <w:top w:w="75" w:type="dxa"/>
                                                  <w:left w:w="75" w:type="dxa"/>
                                                  <w:bottom w:w="75" w:type="dxa"/>
                                                  <w:right w:w="75" w:type="dxa"/>
                                                </w:tcMar>
                                                <w:hideMark/>
                                              </w:tcPr>
                                              <w:p w:rsidR="00000000" w:rsidRDefault="00E5110E">
                                                <w:pPr>
                                                  <w:rPr>
                                                    <w:color w:val="4B4B4B"/>
                                                  </w:rPr>
                                                </w:pPr>
                                                <w:r>
                                                  <w:rPr>
                                                    <w:rStyle w:val="documenttitlelarge1"/>
                                                  </w:rPr>
                                                  <w:t>World: Global Telecoms Predictions for 2007</w:t>
                                                </w:r>
                                                <w:r>
                                                  <w:rPr>
                                                    <w:color w:val="4B4B4B"/>
                                                  </w:rPr>
                                                  <w:t xml:space="preserve">   </w:t>
                                                </w:r>
                                              </w:p>
                                            </w:tc>
                                          </w:tr>
                                          <w:tr w:rsidR="00000000">
                                            <w:trPr>
                                              <w:tblCellSpacing w:w="0" w:type="dxa"/>
                                            </w:trPr>
                                            <w:tc>
                                              <w:tcPr>
                                                <w:tcW w:w="5000" w:type="pct"/>
                                                <w:tcMar>
                                                  <w:top w:w="75" w:type="dxa"/>
                                                  <w:left w:w="75" w:type="dxa"/>
                                                  <w:bottom w:w="75" w:type="dxa"/>
                                                  <w:right w:w="75" w:type="dxa"/>
                                                </w:tcMar>
                                                <w:hideMark/>
                                              </w:tcPr>
                                              <w:p w:rsidR="00000000" w:rsidRDefault="00E5110E">
                                                <w:pPr>
                                                  <w:divId w:val="1575705495"/>
                                                  <w:rPr>
                                                    <w:rFonts w:ascii="Arial" w:hAnsi="Arial" w:cs="Arial"/>
                                                    <w:color w:val="333333"/>
                                                    <w:sz w:val="18"/>
                                                    <w:szCs w:val="18"/>
                                                  </w:rPr>
                                                </w:pPr>
                                                <w:r>
                                                  <w:rPr>
                                                    <w:rFonts w:ascii="Arial" w:hAnsi="Arial" w:cs="Arial"/>
                                                    <w:i/>
                                                    <w:iCs/>
                                                    <w:color w:val="333333"/>
                                                    <w:sz w:val="18"/>
                                                    <w:szCs w:val="18"/>
                                                  </w:rPr>
                                                  <w:t xml:space="preserve">Global Insight's predictions for 2007 include further </w:t>
                                                </w:r>
                                                <w:r>
                                                  <w:rPr>
                                                    <w:rFonts w:ascii="Arial" w:hAnsi="Arial" w:cs="Arial"/>
                                                    <w:i/>
                                                    <w:iCs/>
                                                    <w:color w:val="333333"/>
                                                    <w:sz w:val="18"/>
                                                    <w:szCs w:val="18"/>
                                                  </w:rPr>
                                                  <w:t xml:space="preserve">consolidation in Europe and North America; the appearance of 3G in China, India, and Russia; continuing problems at non-facilities-based providers; and the commercial reality of WiMAX in Europe failing to live up to the hype. </w:t>
                                                </w:r>
                                              </w:p>
                                            </w:tc>
                                          </w:tr>
                                          <w:tr w:rsidR="00000000">
                                            <w:trPr>
                                              <w:tblCellSpacing w:w="0" w:type="dxa"/>
                                            </w:trPr>
                                            <w:tc>
                                              <w:tcPr>
                                                <w:tcW w:w="5000" w:type="pct"/>
                                                <w:tcMar>
                                                  <w:top w:w="75" w:type="dxa"/>
                                                  <w:left w:w="75" w:type="dxa"/>
                                                  <w:bottom w:w="75" w:type="dxa"/>
                                                  <w:right w:w="75" w:type="dxa"/>
                                                </w:tcMar>
                                                <w:hideMark/>
                                              </w:tcPr>
                                              <w:tbl>
                                                <w:tblPr>
                                                  <w:tblStyle w:val="TableNormal"/>
                                                  <w:tblW w:w="0" w:type="auto"/>
                                                  <w:tblCellSpacing w:w="15" w:type="dxa"/>
                                                  <w:tblInd w:w="0" w:type="dxa"/>
                                                  <w:tblLook w:val="04A0" w:firstRow="1" w:lastRow="0" w:firstColumn="1" w:lastColumn="0" w:noHBand="0" w:noVBand="1"/>
                                                </w:tblPr>
                                                <w:tblGrid>
                                                  <w:gridCol w:w="8340"/>
                                                </w:tblGrid>
                                                <w:tr w:rsidR="00000000">
                                                  <w:trPr>
                                                    <w:tblCellSpacing w:w="15" w:type="dxa"/>
                                                  </w:trPr>
                                                  <w:tc>
                                                    <w:tcPr>
                                                      <w:tcW w:w="0" w:type="auto"/>
                                                      <w:shd w:val="clear" w:color="auto" w:fill="991B36"/>
                                                      <w:tcMar>
                                                        <w:top w:w="15" w:type="dxa"/>
                                                        <w:left w:w="15" w:type="dxa"/>
                                                        <w:bottom w:w="15" w:type="dxa"/>
                                                        <w:right w:w="15" w:type="dxa"/>
                                                      </w:tcMar>
                                                      <w:hideMark/>
                                                    </w:tcPr>
                                                    <w:p w:rsidR="00000000" w:rsidRDefault="00E5110E">
                                                      <w:pPr>
                                                        <w:pStyle w:val="tabletitlebold"/>
                                                        <w:jc w:val="center"/>
                                                        <w:rPr>
                                                          <w:color w:val="4B4B4B"/>
                                                        </w:rPr>
                                                      </w:pPr>
                                                      <w:r>
                                                        <w:rPr>
                                                          <w:color w:val="4B4B4B"/>
                                                        </w:rPr>
                                                        <w:t>Key Findings</w:t>
                                                      </w:r>
                                                    </w:p>
                                                  </w:tc>
                                                </w:tr>
                                                <w:tr w:rsidR="00000000">
                                                  <w:trPr>
                                                    <w:tblCellSpacing w:w="15" w:type="dxa"/>
                                                  </w:trPr>
                                                  <w:tc>
                                                    <w:tcPr>
                                                      <w:tcW w:w="0" w:type="auto"/>
                                                      <w:shd w:val="clear" w:color="auto" w:fill="E2E4E9"/>
                                                      <w:tcMar>
                                                        <w:top w:w="15" w:type="dxa"/>
                                                        <w:left w:w="15" w:type="dxa"/>
                                                        <w:bottom w:w="15" w:type="dxa"/>
                                                        <w:right w:w="15" w:type="dxa"/>
                                                      </w:tcMar>
                                                      <w:hideMark/>
                                                    </w:tcPr>
                                                    <w:p w:rsidR="00000000" w:rsidRDefault="00E5110E">
                                                      <w:pPr>
                                                        <w:numPr>
                                                          <w:ilvl w:val="0"/>
                                                          <w:numId w:val="1"/>
                                                        </w:numPr>
                                                        <w:spacing w:before="100" w:beforeAutospacing="1" w:after="100" w:afterAutospacing="1"/>
                                                        <w:rPr>
                                                          <w:rFonts w:ascii="Verdana" w:hAnsi="Verdana"/>
                                                          <w:color w:val="000000"/>
                                                          <w:sz w:val="15"/>
                                                          <w:szCs w:val="15"/>
                                                        </w:rPr>
                                                      </w:pPr>
                                                      <w:r>
                                                        <w:rPr>
                                                          <w:rFonts w:ascii="Verdana" w:hAnsi="Verdana"/>
                                                          <w:color w:val="000000"/>
                                                          <w:sz w:val="15"/>
                                                          <w:szCs w:val="15"/>
                                                        </w:rPr>
                                                        <w:t xml:space="preserve">China, India, </w:t>
                                                      </w:r>
                                                      <w:r>
                                                        <w:rPr>
                                                          <w:rFonts w:ascii="Verdana" w:hAnsi="Verdana"/>
                                                          <w:color w:val="000000"/>
                                                          <w:sz w:val="15"/>
                                                          <w:szCs w:val="15"/>
                                                        </w:rPr>
                                                        <w:t>and Russia will join the 3G fray in 2007.</w:t>
                                                      </w:r>
                                                    </w:p>
                                                    <w:p w:rsidR="00000000" w:rsidRDefault="00E5110E">
                                                      <w:pPr>
                                                        <w:numPr>
                                                          <w:ilvl w:val="0"/>
                                                          <w:numId w:val="1"/>
                                                        </w:numPr>
                                                        <w:spacing w:before="100" w:beforeAutospacing="1" w:after="100" w:afterAutospacing="1"/>
                                                        <w:rPr>
                                                          <w:rFonts w:ascii="Verdana" w:hAnsi="Verdana"/>
                                                          <w:color w:val="000000"/>
                                                          <w:sz w:val="15"/>
                                                          <w:szCs w:val="15"/>
                                                        </w:rPr>
                                                      </w:pPr>
                                                      <w:r>
                                                        <w:rPr>
                                                          <w:rFonts w:ascii="Verdana" w:hAnsi="Verdana"/>
                                                          <w:color w:val="000000"/>
                                                          <w:sz w:val="15"/>
                                                          <w:szCs w:val="15"/>
                                                        </w:rPr>
                                                        <w:t xml:space="preserve">WiMAX may have been the hot topic of 2006, but we see little impact on Europe's telecoms market from either the fixed or mobile variants in the short term. </w:t>
                                                      </w:r>
                                                    </w:p>
                                                    <w:p w:rsidR="00000000" w:rsidRDefault="00E5110E">
                                                      <w:pPr>
                                                        <w:numPr>
                                                          <w:ilvl w:val="0"/>
                                                          <w:numId w:val="1"/>
                                                        </w:numPr>
                                                        <w:spacing w:before="100" w:beforeAutospacing="1" w:after="100" w:afterAutospacing="1"/>
                                                        <w:rPr>
                                                          <w:rFonts w:ascii="Verdana" w:hAnsi="Verdana"/>
                                                          <w:color w:val="000000"/>
                                                          <w:sz w:val="15"/>
                                                          <w:szCs w:val="15"/>
                                                        </w:rPr>
                                                      </w:pPr>
                                                      <w:r>
                                                        <w:rPr>
                                                          <w:rFonts w:ascii="Verdana" w:hAnsi="Verdana"/>
                                                          <w:color w:val="000000"/>
                                                          <w:sz w:val="15"/>
                                                          <w:szCs w:val="15"/>
                                                        </w:rPr>
                                                        <w:t xml:space="preserve">Hutchison Whampoa could call it a day in Europe, as will a growing number of MVNOs. </w:t>
                                                      </w:r>
                                                    </w:p>
                                                    <w:p w:rsidR="00000000" w:rsidRDefault="00E5110E">
                                                      <w:pPr>
                                                        <w:numPr>
                                                          <w:ilvl w:val="0"/>
                                                          <w:numId w:val="1"/>
                                                        </w:numPr>
                                                        <w:spacing w:before="100" w:beforeAutospacing="1" w:after="100" w:afterAutospacing="1"/>
                                                        <w:rPr>
                                                          <w:rFonts w:ascii="Verdana" w:hAnsi="Verdana"/>
                                                          <w:color w:val="000000"/>
                                                          <w:sz w:val="15"/>
                                                          <w:szCs w:val="15"/>
                                                        </w:rPr>
                                                      </w:pPr>
                                                      <w:r>
                                                        <w:rPr>
                                                          <w:rFonts w:ascii="Verdana" w:hAnsi="Verdana"/>
                                                          <w:color w:val="000000"/>
                                                          <w:sz w:val="15"/>
                                                          <w:szCs w:val="15"/>
                                                        </w:rPr>
                                                        <w:t xml:space="preserve">Further consolidation will be seen in the United States as operators seek to round off their portfolios of services. </w:t>
                                                      </w:r>
                                                    </w:p>
                                                    <w:p w:rsidR="00000000" w:rsidRDefault="00E5110E">
                                                      <w:pPr>
                                                        <w:numPr>
                                                          <w:ilvl w:val="0"/>
                                                          <w:numId w:val="1"/>
                                                        </w:numPr>
                                                        <w:spacing w:before="100" w:beforeAutospacing="1" w:after="100" w:afterAutospacing="1"/>
                                                        <w:rPr>
                                                          <w:rFonts w:ascii="Verdana" w:hAnsi="Verdana"/>
                                                          <w:color w:val="000000"/>
                                                          <w:sz w:val="15"/>
                                                          <w:szCs w:val="15"/>
                                                        </w:rPr>
                                                      </w:pPr>
                                                      <w:r>
                                                        <w:rPr>
                                                          <w:rFonts w:ascii="Verdana" w:hAnsi="Verdana"/>
                                                          <w:color w:val="000000"/>
                                                          <w:sz w:val="15"/>
                                                          <w:szCs w:val="15"/>
                                                        </w:rPr>
                                                        <w:t>M2M will play an increasing role in wireless markets,</w:t>
                                                      </w:r>
                                                      <w:r>
                                                        <w:rPr>
                                                          <w:rFonts w:ascii="Verdana" w:hAnsi="Verdana"/>
                                                          <w:color w:val="000000"/>
                                                          <w:sz w:val="15"/>
                                                          <w:szCs w:val="15"/>
                                                        </w:rPr>
                                                        <w:t xml:space="preserve"> while new services such as instant messaging and mobile VoIP could start to disrupt the traditional mobile business model.</w:t>
                                                      </w:r>
                                                    </w:p>
                                                  </w:tc>
                                                </w:tr>
                                              </w:tbl>
                                              <w:p w:rsidR="00000000" w:rsidRDefault="00E5110E">
                                                <w:pPr>
                                                  <w:pStyle w:val="NormaleWeb"/>
                                                  <w:rPr>
                                                    <w:rFonts w:ascii="Arial" w:hAnsi="Arial" w:cs="Arial"/>
                                                    <w:color w:val="333333"/>
                                                    <w:sz w:val="18"/>
                                                    <w:szCs w:val="18"/>
                                                  </w:rPr>
                                                </w:pPr>
                                                <w:r>
                                                  <w:rPr>
                                                    <w:rFonts w:ascii="Arial" w:hAnsi="Arial" w:cs="Arial"/>
                                                    <w:color w:val="333333"/>
                                                    <w:sz w:val="18"/>
                                                    <w:szCs w:val="18"/>
                                                  </w:rPr>
                                                  <w:t xml:space="preserve">Our top predictions for 2007: </w:t>
                                                </w:r>
                                              </w:p>
                                              <w:p w:rsidR="00000000" w:rsidRDefault="00E5110E">
                                                <w:pPr>
                                                  <w:numPr>
                                                    <w:ilvl w:val="0"/>
                                                    <w:numId w:val="2"/>
                                                  </w:numPr>
                                                  <w:spacing w:before="100" w:beforeAutospacing="1" w:after="100" w:afterAutospacing="1"/>
                                                  <w:rPr>
                                                    <w:rFonts w:ascii="Arial" w:hAnsi="Arial" w:cs="Arial"/>
                                                    <w:color w:val="333333"/>
                                                    <w:sz w:val="18"/>
                                                    <w:szCs w:val="18"/>
                                                  </w:rPr>
                                                </w:pPr>
                                                <w:r>
                                                  <w:rPr>
                                                    <w:rFonts w:ascii="Arial" w:hAnsi="Arial" w:cs="Arial"/>
                                                    <w:b/>
                                                    <w:bCs/>
                                                    <w:color w:val="333333"/>
                                                    <w:sz w:val="18"/>
                                                    <w:szCs w:val="18"/>
                                                  </w:rPr>
                                                  <w:t xml:space="preserve">3G licences </w:t>
                                                </w:r>
                                                <w:r>
                                                  <w:rPr>
                                                    <w:rFonts w:ascii="Arial" w:hAnsi="Arial" w:cs="Arial"/>
                                                    <w:color w:val="333333"/>
                                                    <w:sz w:val="18"/>
                                                    <w:szCs w:val="18"/>
                                                  </w:rPr>
                                                  <w:t xml:space="preserve">will be granted in three of the world's largest markets: </w:t>
                                                </w:r>
                                                <w:r>
                                                  <w:rPr>
                                                    <w:rFonts w:ascii="Arial" w:hAnsi="Arial" w:cs="Arial"/>
                                                    <w:b/>
                                                    <w:bCs/>
                                                    <w:color w:val="333333"/>
                                                    <w:sz w:val="18"/>
                                                    <w:szCs w:val="18"/>
                                                  </w:rPr>
                                                  <w:t>China, India</w:t>
                                                </w:r>
                                                <w:r>
                                                  <w:rPr>
                                                    <w:rFonts w:ascii="Arial" w:hAnsi="Arial" w:cs="Arial"/>
                                                    <w:color w:val="333333"/>
                                                    <w:sz w:val="18"/>
                                                    <w:szCs w:val="18"/>
                                                  </w:rPr>
                                                  <w:t xml:space="preserve">, and </w:t>
                                                </w:r>
                                                <w:r>
                                                  <w:rPr>
                                                    <w:rFonts w:ascii="Arial" w:hAnsi="Arial" w:cs="Arial"/>
                                                    <w:b/>
                                                    <w:bCs/>
                                                    <w:color w:val="333333"/>
                                                    <w:sz w:val="18"/>
                                                    <w:szCs w:val="18"/>
                                                  </w:rPr>
                                                  <w:t>Russia</w:t>
                                                </w:r>
                                                <w:r>
                                                  <w:rPr>
                                                    <w:rFonts w:ascii="Arial" w:hAnsi="Arial" w:cs="Arial"/>
                                                    <w:color w:val="333333"/>
                                                    <w:sz w:val="18"/>
                                                    <w:szCs w:val="18"/>
                                                  </w:rPr>
                                                  <w:t>.</w:t>
                                                </w:r>
                                              </w:p>
                                              <w:p w:rsidR="00000000" w:rsidRDefault="00E5110E">
                                                <w:pPr>
                                                  <w:numPr>
                                                    <w:ilvl w:val="1"/>
                                                    <w:numId w:val="2"/>
                                                  </w:numPr>
                                                  <w:spacing w:before="100" w:beforeAutospacing="1" w:after="100" w:afterAutospacing="1"/>
                                                  <w:rPr>
                                                    <w:rFonts w:ascii="Arial" w:hAnsi="Arial" w:cs="Arial"/>
                                                    <w:color w:val="333333"/>
                                                    <w:sz w:val="18"/>
                                                    <w:szCs w:val="18"/>
                                                  </w:rPr>
                                                </w:pPr>
                                                <w:r>
                                                  <w:rPr>
                                                    <w:rFonts w:ascii="Arial" w:hAnsi="Arial" w:cs="Arial"/>
                                                    <w:b/>
                                                    <w:bCs/>
                                                    <w:color w:val="333333"/>
                                                    <w:sz w:val="18"/>
                                                    <w:szCs w:val="18"/>
                                                  </w:rPr>
                                                  <w:t>China</w:t>
                                                </w:r>
                                                <w:r>
                                                  <w:rPr>
                                                    <w:rFonts w:ascii="Arial" w:hAnsi="Arial" w:cs="Arial"/>
                                                    <w:color w:val="333333"/>
                                                    <w:sz w:val="18"/>
                                                    <w:szCs w:val="18"/>
                                                  </w:rPr>
                                                  <w:t xml:space="preserve">'s incumbent mobile operators, China Mobile and China Unicom, and dominant fixed-line operators, China Telecom and China Netcom, will all receive 3G licences. At least one licence will be based on </w:t>
                                                </w:r>
                                                <w:r>
                                                  <w:rPr>
                                                    <w:rFonts w:ascii="Arial" w:hAnsi="Arial" w:cs="Arial"/>
                                                    <w:b/>
                                                    <w:bCs/>
                                                    <w:color w:val="333333"/>
                                                    <w:sz w:val="18"/>
                                                    <w:szCs w:val="18"/>
                                                  </w:rPr>
                                                  <w:t>TD-SCDMA</w:t>
                                                </w:r>
                                                <w:r>
                                                  <w:rPr>
                                                    <w:rFonts w:ascii="Arial" w:hAnsi="Arial" w:cs="Arial"/>
                                                    <w:color w:val="333333"/>
                                                    <w:sz w:val="18"/>
                                                    <w:szCs w:val="18"/>
                                                  </w:rPr>
                                                  <w:t>, China's own 3G technology. But dual-or triple-mod</w:t>
                                                </w:r>
                                                <w:r>
                                                  <w:rPr>
                                                    <w:rFonts w:ascii="Arial" w:hAnsi="Arial" w:cs="Arial"/>
                                                    <w:color w:val="333333"/>
                                                    <w:sz w:val="18"/>
                                                    <w:szCs w:val="18"/>
                                                  </w:rPr>
                                                  <w:t xml:space="preserve">e GSM/W-CDMA and TD-SCDMA handsets are a must if TD-CDMA is going to have a long-term place in the Chinese mobile market. </w:t>
                                                </w:r>
                                              </w:p>
                                              <w:p w:rsidR="00000000" w:rsidRDefault="00E5110E">
                                                <w:pPr>
                                                  <w:numPr>
                                                    <w:ilvl w:val="1"/>
                                                    <w:numId w:val="2"/>
                                                  </w:numPr>
                                                  <w:spacing w:before="100" w:beforeAutospacing="1" w:after="100" w:afterAutospacing="1"/>
                                                  <w:rPr>
                                                    <w:rFonts w:ascii="Arial" w:hAnsi="Arial" w:cs="Arial"/>
                                                    <w:color w:val="333333"/>
                                                    <w:sz w:val="18"/>
                                                    <w:szCs w:val="18"/>
                                                  </w:rPr>
                                                </w:pPr>
                                                <w:r>
                                                  <w:rPr>
                                                    <w:rFonts w:ascii="Arial" w:hAnsi="Arial" w:cs="Arial"/>
                                                    <w:b/>
                                                    <w:bCs/>
                                                    <w:color w:val="333333"/>
                                                    <w:sz w:val="18"/>
                                                    <w:szCs w:val="18"/>
                                                  </w:rPr>
                                                  <w:t>India</w:t>
                                                </w:r>
                                                <w:r>
                                                  <w:rPr>
                                                    <w:rFonts w:ascii="Arial" w:hAnsi="Arial" w:cs="Arial"/>
                                                    <w:color w:val="333333"/>
                                                    <w:sz w:val="18"/>
                                                    <w:szCs w:val="18"/>
                                                  </w:rPr>
                                                  <w:t xml:space="preserve"> will also see 3G licensing, but much focus will be on tapping up organic growth opportunities in underserved rural mobile marke</w:t>
                                                </w:r>
                                                <w:r>
                                                  <w:rPr>
                                                    <w:rFonts w:ascii="Arial" w:hAnsi="Arial" w:cs="Arial"/>
                                                    <w:color w:val="333333"/>
                                                    <w:sz w:val="18"/>
                                                    <w:szCs w:val="18"/>
                                                  </w:rPr>
                                                  <w:t xml:space="preserve">ts. The merger-fest of 2006 will slow down in 2007. Bharti has for one said that it does not want to sell any further equity to Vodafone, which currently has a 10% stake in the Indian operator. </w:t>
                                                </w:r>
                                              </w:p>
                                              <w:p w:rsidR="00000000" w:rsidRDefault="00E5110E">
                                                <w:pPr>
                                                  <w:numPr>
                                                    <w:ilvl w:val="1"/>
                                                    <w:numId w:val="2"/>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After much talk, 3G licences will also be issued in </w:t>
                                                </w:r>
                                                <w:r>
                                                  <w:rPr>
                                                    <w:rFonts w:ascii="Arial" w:hAnsi="Arial" w:cs="Arial"/>
                                                    <w:b/>
                                                    <w:bCs/>
                                                    <w:color w:val="333333"/>
                                                    <w:sz w:val="18"/>
                                                    <w:szCs w:val="18"/>
                                                  </w:rPr>
                                                  <w:t>Russia</w:t>
                                                </w:r>
                                                <w:r>
                                                  <w:rPr>
                                                    <w:rFonts w:ascii="Arial" w:hAnsi="Arial" w:cs="Arial"/>
                                                    <w:color w:val="333333"/>
                                                    <w:sz w:val="18"/>
                                                    <w:szCs w:val="18"/>
                                                  </w:rPr>
                                                  <w:t>. M</w:t>
                                                </w:r>
                                                <w:r>
                                                  <w:rPr>
                                                    <w:rFonts w:ascii="Arial" w:hAnsi="Arial" w:cs="Arial"/>
                                                    <w:color w:val="333333"/>
                                                    <w:sz w:val="18"/>
                                                    <w:szCs w:val="18"/>
                                                  </w:rPr>
                                                  <w:t>egafon, Mobile TeleSystems (MTS), and VimpelCom will all receive UMTS licences. VimpelCom's lack of mobile licences in the Far East, could, however, delay the process of 3G licensing further still. MTS and VimpelCom's parent companies (Sistema and Alfa) wi</w:t>
                                                </w:r>
                                                <w:r>
                                                  <w:rPr>
                                                    <w:rFonts w:ascii="Arial" w:hAnsi="Arial" w:cs="Arial"/>
                                                    <w:color w:val="333333"/>
                                                    <w:sz w:val="18"/>
                                                    <w:szCs w:val="18"/>
                                                  </w:rPr>
                                                  <w:t>ll continue to flirt with Western European operators, but concerns over corporate governance issues in Russia will hamper any large-scale deals. Within VimpelCom, boardroom battles show no signs of abating, so any larger scale, longer term international op</w:t>
                                                </w:r>
                                                <w:r>
                                                  <w:rPr>
                                                    <w:rFonts w:ascii="Arial" w:hAnsi="Arial" w:cs="Arial"/>
                                                    <w:color w:val="333333"/>
                                                    <w:sz w:val="18"/>
                                                    <w:szCs w:val="18"/>
                                                  </w:rPr>
                                                  <w:t>erations are unlikely.</w:t>
                                                </w:r>
                                              </w:p>
                                              <w:p w:rsidR="00000000" w:rsidRDefault="00E5110E">
                                                <w:pPr>
                                                  <w:numPr>
                                                    <w:ilvl w:val="0"/>
                                                    <w:numId w:val="3"/>
                                                  </w:numPr>
                                                  <w:spacing w:before="100" w:beforeAutospacing="1" w:after="100" w:afterAutospacing="1"/>
                                                  <w:rPr>
                                                    <w:rFonts w:ascii="Arial" w:hAnsi="Arial" w:cs="Arial"/>
                                                    <w:color w:val="333333"/>
                                                    <w:sz w:val="18"/>
                                                    <w:szCs w:val="18"/>
                                                  </w:rPr>
                                                </w:pPr>
                                                <w:r>
                                                  <w:rPr>
                                                    <w:rFonts w:ascii="Arial" w:hAnsi="Arial" w:cs="Arial"/>
                                                    <w:b/>
                                                    <w:bCs/>
                                                    <w:color w:val="333333"/>
                                                    <w:sz w:val="18"/>
                                                    <w:szCs w:val="18"/>
                                                  </w:rPr>
                                                  <w:t>Japan</w:t>
                                                </w:r>
                                                <w:r>
                                                  <w:rPr>
                                                    <w:rFonts w:ascii="Arial" w:hAnsi="Arial" w:cs="Arial"/>
                                                    <w:color w:val="333333"/>
                                                    <w:sz w:val="18"/>
                                                    <w:szCs w:val="18"/>
                                                  </w:rPr>
                                                  <w:t>, a booming 3G market that China, Russia, and India would love to emulate, will see a shake-up in 2007. IPMobile and eAccess, which received mobile licences in 2005, are both expected to launch 3G services in 2007. They may well</w:t>
                                                </w:r>
                                                <w:r>
                                                  <w:rPr>
                                                    <w:rFonts w:ascii="Arial" w:hAnsi="Arial" w:cs="Arial"/>
                                                    <w:color w:val="333333"/>
                                                    <w:sz w:val="18"/>
                                                    <w:szCs w:val="18"/>
                                                  </w:rPr>
                                                  <w:t xml:space="preserve"> be followed by MVNOs later in the year, but the question is: is there room for many more players in an already ultra-competitive mobile market? </w:t>
                                                </w:r>
                                              </w:p>
                                              <w:p w:rsidR="00000000" w:rsidRDefault="00E5110E">
                                                <w:pPr>
                                                  <w:numPr>
                                                    <w:ilvl w:val="0"/>
                                                    <w:numId w:val="4"/>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The long-term experience of </w:t>
                                                </w:r>
                                                <w:r>
                                                  <w:rPr>
                                                    <w:rFonts w:ascii="Arial" w:hAnsi="Arial" w:cs="Arial"/>
                                                    <w:b/>
                                                    <w:bCs/>
                                                    <w:color w:val="333333"/>
                                                    <w:sz w:val="18"/>
                                                    <w:szCs w:val="18"/>
                                                  </w:rPr>
                                                  <w:t>MVNO markets in Europe </w:t>
                                                </w:r>
                                                <w:r>
                                                  <w:rPr>
                                                    <w:rFonts w:ascii="Arial" w:hAnsi="Arial" w:cs="Arial"/>
                                                    <w:color w:val="333333"/>
                                                    <w:sz w:val="18"/>
                                                    <w:szCs w:val="18"/>
                                                  </w:rPr>
                                                  <w:t>does not auger well for Japan. In 2007, Europe's MVNO marke</w:t>
                                                </w:r>
                                                <w:r>
                                                  <w:rPr>
                                                    <w:rFonts w:ascii="Arial" w:hAnsi="Arial" w:cs="Arial"/>
                                                    <w:color w:val="333333"/>
                                                    <w:sz w:val="18"/>
                                                    <w:szCs w:val="18"/>
                                                  </w:rPr>
                                                  <w:t>t will begin its long-awaited decline: apart from in few markets like in France, the MVNO model will begin its long-expected road towards decline. Some well-</w:t>
                                                </w:r>
                                                <w:r>
                                                  <w:rPr>
                                                    <w:rFonts w:ascii="Arial" w:hAnsi="Arial" w:cs="Arial"/>
                                                    <w:color w:val="333333"/>
                                                    <w:sz w:val="18"/>
                                                    <w:szCs w:val="18"/>
                                                  </w:rPr>
                                                  <w:lastRenderedPageBreak/>
                                                  <w:t>established ones like Virgin and Tesco in the United Kingdom will manage to survive, but the smalle</w:t>
                                                </w:r>
                                                <w:r>
                                                  <w:rPr>
                                                    <w:rFonts w:ascii="Arial" w:hAnsi="Arial" w:cs="Arial"/>
                                                    <w:color w:val="333333"/>
                                                    <w:sz w:val="18"/>
                                                    <w:szCs w:val="18"/>
                                                  </w:rPr>
                                                  <w:t>r ones will struggle. In fact, any MVNO with fewer than 100,000 customers by the end of 2006 will have to rethink its existence.</w:t>
                                                </w:r>
                                              </w:p>
                                              <w:p w:rsidR="00000000" w:rsidRDefault="00E5110E">
                                                <w:pPr>
                                                  <w:numPr>
                                                    <w:ilvl w:val="0"/>
                                                    <w:numId w:val="5"/>
                                                  </w:numPr>
                                                  <w:spacing w:before="100" w:beforeAutospacing="1" w:after="100" w:afterAutospacing="1"/>
                                                  <w:rPr>
                                                    <w:rFonts w:ascii="Arial" w:hAnsi="Arial" w:cs="Arial"/>
                                                    <w:color w:val="333333"/>
                                                    <w:sz w:val="18"/>
                                                    <w:szCs w:val="18"/>
                                                  </w:rPr>
                                                </w:pPr>
                                                <w:r>
                                                  <w:rPr>
                                                    <w:rFonts w:ascii="Arial" w:hAnsi="Arial" w:cs="Arial"/>
                                                    <w:b/>
                                                    <w:bCs/>
                                                    <w:color w:val="333333"/>
                                                    <w:sz w:val="18"/>
                                                    <w:szCs w:val="18"/>
                                                  </w:rPr>
                                                  <w:t xml:space="preserve">Hutchison Whampoa </w:t>
                                                </w:r>
                                                <w:r>
                                                  <w:rPr>
                                                    <w:rFonts w:ascii="Arial" w:hAnsi="Arial" w:cs="Arial"/>
                                                    <w:color w:val="333333"/>
                                                    <w:sz w:val="18"/>
                                                    <w:szCs w:val="18"/>
                                                  </w:rPr>
                                                  <w:t xml:space="preserve">has invigorated Europe's mobile market, but its seemingly unabating losses, high customer acquisition costs, </w:t>
                                                </w:r>
                                                <w:r>
                                                  <w:rPr>
                                                    <w:rFonts w:ascii="Arial" w:hAnsi="Arial" w:cs="Arial"/>
                                                    <w:color w:val="333333"/>
                                                    <w:sz w:val="18"/>
                                                    <w:szCs w:val="18"/>
                                                  </w:rPr>
                                                  <w:t>and poor customer-retention record could spell the end for the Hong Kong group's current European ambitions. The operator's much-vaunted flat-rate data service X-series could, of course, enable the group to turn the corner. On the other hand, a sell-off in</w:t>
                                                </w:r>
                                                <w:r>
                                                  <w:rPr>
                                                    <w:rFonts w:ascii="Arial" w:hAnsi="Arial" w:cs="Arial"/>
                                                    <w:color w:val="333333"/>
                                                    <w:sz w:val="18"/>
                                                    <w:szCs w:val="18"/>
                                                  </w:rPr>
                                                  <w:t xml:space="preserve"> the short term would allow the Hong Kong group to cash in on its tax credits. </w:t>
                                                </w:r>
                                              </w:p>
                                              <w:p w:rsidR="00000000" w:rsidRDefault="00E5110E">
                                                <w:pPr>
                                                  <w:numPr>
                                                    <w:ilvl w:val="0"/>
                                                    <w:numId w:val="6"/>
                                                  </w:numPr>
                                                  <w:spacing w:before="100" w:beforeAutospacing="1" w:after="100" w:afterAutospacing="1"/>
                                                  <w:rPr>
                                                    <w:rFonts w:ascii="Arial" w:hAnsi="Arial" w:cs="Arial"/>
                                                    <w:color w:val="333333"/>
                                                    <w:sz w:val="18"/>
                                                    <w:szCs w:val="18"/>
                                                  </w:rPr>
                                                </w:pPr>
                                                <w:r>
                                                  <w:rPr>
                                                    <w:rFonts w:ascii="Arial" w:hAnsi="Arial" w:cs="Arial"/>
                                                    <w:b/>
                                                    <w:bCs/>
                                                    <w:color w:val="333333"/>
                                                    <w:sz w:val="18"/>
                                                    <w:szCs w:val="18"/>
                                                  </w:rPr>
                                                  <w:t xml:space="preserve">Vodafone </w:t>
                                                </w:r>
                                                <w:r>
                                                  <w:rPr>
                                                    <w:rFonts w:ascii="Arial" w:hAnsi="Arial" w:cs="Arial"/>
                                                    <w:color w:val="333333"/>
                                                    <w:sz w:val="18"/>
                                                    <w:szCs w:val="18"/>
                                                  </w:rPr>
                                                  <w:t>is a possible bidder for Hutchison Whampoa's 3G business in Europe. If it does buy 3, Vodafone will most likely sell the Sweden, Denmark, and Austria operations. But V</w:t>
                                                </w:r>
                                                <w:r>
                                                  <w:rPr>
                                                    <w:rFonts w:ascii="Arial" w:hAnsi="Arial" w:cs="Arial"/>
                                                    <w:color w:val="333333"/>
                                                    <w:sz w:val="18"/>
                                                    <w:szCs w:val="18"/>
                                                  </w:rPr>
                                                  <w:t>odafone has other concerns. Its current asset-light foray into the European broadband market is most likely to struggle in the face of intense competition across the region. To mitigate its impact, the company will reach out to make acquisitions. FastWeb a</w:t>
                                                </w:r>
                                                <w:r>
                                                  <w:rPr>
                                                    <w:rFonts w:ascii="Arial" w:hAnsi="Arial" w:cs="Arial"/>
                                                    <w:color w:val="333333"/>
                                                    <w:sz w:val="18"/>
                                                    <w:szCs w:val="18"/>
                                                  </w:rPr>
                                                  <w:t xml:space="preserve">nd Tiscali in Italy and the United Kingdom are likely prey. </w:t>
                                                </w:r>
                                              </w:p>
                                              <w:p w:rsidR="00000000" w:rsidRDefault="00E5110E">
                                                <w:pPr>
                                                  <w:numPr>
                                                    <w:ilvl w:val="0"/>
                                                    <w:numId w:val="7"/>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Vodafone would definitely like to move from a minority position to a controlling share of its assets in France. But Vivendi will continue to hold out. Its assets </w:t>
                                                </w:r>
                                                <w:r>
                                                  <w:rPr>
                                                    <w:rFonts w:ascii="Arial" w:hAnsi="Arial" w:cs="Arial"/>
                                                    <w:b/>
                                                    <w:bCs/>
                                                    <w:color w:val="333333"/>
                                                    <w:sz w:val="18"/>
                                                    <w:szCs w:val="18"/>
                                                  </w:rPr>
                                                  <w:t>SFR/Neuf Cegetel/Tele2</w:t>
                                                </w:r>
                                                <w:r>
                                                  <w:rPr>
                                                    <w:rFonts w:ascii="Arial" w:hAnsi="Arial" w:cs="Arial"/>
                                                    <w:color w:val="333333"/>
                                                    <w:sz w:val="18"/>
                                                    <w:szCs w:val="18"/>
                                                  </w:rPr>
                                                  <w:t xml:space="preserve"> will begin</w:t>
                                                </w:r>
                                                <w:r>
                                                  <w:rPr>
                                                    <w:rFonts w:ascii="Arial" w:hAnsi="Arial" w:cs="Arial"/>
                                                    <w:color w:val="333333"/>
                                                    <w:sz w:val="18"/>
                                                    <w:szCs w:val="18"/>
                                                  </w:rPr>
                                                  <w:t xml:space="preserve"> the process of fusing. It does not make much sense having the three companies literally controlled by Vivendi yet competing against each other in several markets. Although full-scale fusion will not occur—partly because of the conditions for the acquisiti</w:t>
                                                </w:r>
                                                <w:r>
                                                  <w:rPr>
                                                    <w:rFonts w:ascii="Arial" w:hAnsi="Arial" w:cs="Arial"/>
                                                    <w:color w:val="333333"/>
                                                    <w:sz w:val="18"/>
                                                    <w:szCs w:val="18"/>
                                                  </w:rPr>
                                                  <w:t>on of Tele2—the three companies will begin the process of binding their operations together to become a leading integrated operator in France.</w:t>
                                                </w:r>
                                              </w:p>
                                              <w:p w:rsidR="00000000" w:rsidRDefault="00E5110E">
                                                <w:pPr>
                                                  <w:numPr>
                                                    <w:ilvl w:val="0"/>
                                                    <w:numId w:val="8"/>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Both </w:t>
                                                </w:r>
                                                <w:r>
                                                  <w:rPr>
                                                    <w:rFonts w:ascii="Arial" w:hAnsi="Arial" w:cs="Arial"/>
                                                    <w:b/>
                                                    <w:bCs/>
                                                    <w:color w:val="333333"/>
                                                    <w:sz w:val="18"/>
                                                    <w:szCs w:val="18"/>
                                                  </w:rPr>
                                                  <w:t>China Mobile</w:t>
                                                </w:r>
                                                <w:r>
                                                  <w:rPr>
                                                    <w:rFonts w:ascii="Arial" w:hAnsi="Arial" w:cs="Arial"/>
                                                    <w:color w:val="333333"/>
                                                    <w:sz w:val="18"/>
                                                    <w:szCs w:val="18"/>
                                                  </w:rPr>
                                                  <w:t xml:space="preserve"> and </w:t>
                                                </w:r>
                                                <w:r>
                                                  <w:rPr>
                                                    <w:rFonts w:ascii="Arial" w:hAnsi="Arial" w:cs="Arial"/>
                                                    <w:b/>
                                                    <w:bCs/>
                                                    <w:color w:val="333333"/>
                                                    <w:sz w:val="18"/>
                                                    <w:szCs w:val="18"/>
                                                  </w:rPr>
                                                  <w:t>China Telecom</w:t>
                                                </w:r>
                                                <w:r>
                                                  <w:rPr>
                                                    <w:rFonts w:ascii="Arial" w:hAnsi="Arial" w:cs="Arial"/>
                                                    <w:color w:val="333333"/>
                                                    <w:sz w:val="18"/>
                                                    <w:szCs w:val="18"/>
                                                  </w:rPr>
                                                  <w:t xml:space="preserve"> </w:t>
                                                </w:r>
                                                <w:r>
                                                  <w:rPr>
                                                    <w:rFonts w:ascii="Arial" w:hAnsi="Arial" w:cs="Arial"/>
                                                    <w:color w:val="333333"/>
                                                    <w:sz w:val="18"/>
                                                    <w:szCs w:val="18"/>
                                                  </w:rPr>
                                                  <w:t xml:space="preserve">will remain in the headlines as potential acquirers of overseas assets. But they themselves, as well as China Unicom and China Netcom, will be targeted as investment opportunities as the 3G licensing framework gradually becomes clearer. Spain's Telefónica </w:t>
                                                </w:r>
                                                <w:r>
                                                  <w:rPr>
                                                    <w:rFonts w:ascii="Arial" w:hAnsi="Arial" w:cs="Arial"/>
                                                    <w:color w:val="333333"/>
                                                    <w:sz w:val="18"/>
                                                    <w:szCs w:val="18"/>
                                                  </w:rPr>
                                                  <w:t>will raise its 5% stake in China Netcom to 10%, while SK Telecom (holder of US$1-billion worth of China Unicom convertible bonds, equivalent to a 6.7% stake) and other foreign operators will seek to position themselves to exploit the world's largest mobile</w:t>
                                                </w:r>
                                                <w:r>
                                                  <w:rPr>
                                                    <w:rFonts w:ascii="Arial" w:hAnsi="Arial" w:cs="Arial"/>
                                                    <w:color w:val="333333"/>
                                                    <w:sz w:val="18"/>
                                                    <w:szCs w:val="18"/>
                                                  </w:rPr>
                                                  <w:t xml:space="preserve"> market. Further consolidation will occur in the </w:t>
                                                </w:r>
                                                <w:r>
                                                  <w:rPr>
                                                    <w:rFonts w:ascii="Arial" w:hAnsi="Arial" w:cs="Arial"/>
                                                    <w:b/>
                                                    <w:bCs/>
                                                    <w:color w:val="333333"/>
                                                    <w:sz w:val="18"/>
                                                    <w:szCs w:val="18"/>
                                                  </w:rPr>
                                                  <w:t>Latin American</w:t>
                                                </w:r>
                                                <w:r>
                                                  <w:rPr>
                                                    <w:rFonts w:ascii="Arial" w:hAnsi="Arial" w:cs="Arial"/>
                                                    <w:color w:val="333333"/>
                                                    <w:sz w:val="18"/>
                                                    <w:szCs w:val="18"/>
                                                  </w:rPr>
                                                  <w:t xml:space="preserve"> market, primarily driven by Telmex's international ambitions. In other regions, Millicom, Digicel, and one of the </w:t>
                                                </w:r>
                                                <w:r>
                                                  <w:rPr>
                                                    <w:rFonts w:ascii="Arial" w:hAnsi="Arial" w:cs="Arial"/>
                                                    <w:b/>
                                                    <w:bCs/>
                                                    <w:color w:val="333333"/>
                                                    <w:sz w:val="18"/>
                                                    <w:szCs w:val="18"/>
                                                  </w:rPr>
                                                  <w:t>pan-Middle East/African</w:t>
                                                </w:r>
                                                <w:r>
                                                  <w:rPr>
                                                    <w:rFonts w:ascii="Arial" w:hAnsi="Arial" w:cs="Arial"/>
                                                    <w:color w:val="333333"/>
                                                    <w:sz w:val="18"/>
                                                    <w:szCs w:val="18"/>
                                                  </w:rPr>
                                                  <w:t xml:space="preserve"> mobile operators could go under the hammer. </w:t>
                                                </w:r>
                                              </w:p>
                                              <w:p w:rsidR="00000000" w:rsidRDefault="00E5110E">
                                                <w:pPr>
                                                  <w:numPr>
                                                    <w:ilvl w:val="0"/>
                                                    <w:numId w:val="9"/>
                                                  </w:numPr>
                                                  <w:spacing w:before="100" w:beforeAutospacing="1" w:after="100" w:afterAutospacing="1"/>
                                                  <w:rPr>
                                                    <w:rFonts w:ascii="Arial" w:hAnsi="Arial" w:cs="Arial"/>
                                                    <w:color w:val="333333"/>
                                                    <w:sz w:val="18"/>
                                                    <w:szCs w:val="18"/>
                                                  </w:rPr>
                                                </w:pPr>
                                                <w:r>
                                                  <w:rPr>
                                                    <w:rFonts w:ascii="Arial" w:hAnsi="Arial" w:cs="Arial"/>
                                                    <w:color w:val="333333"/>
                                                    <w:sz w:val="18"/>
                                                    <w:szCs w:val="18"/>
                                                  </w:rPr>
                                                  <w:t>While Eur</w:t>
                                                </w:r>
                                                <w:r>
                                                  <w:rPr>
                                                    <w:rFonts w:ascii="Arial" w:hAnsi="Arial" w:cs="Arial"/>
                                                    <w:color w:val="333333"/>
                                                    <w:sz w:val="18"/>
                                                    <w:szCs w:val="18"/>
                                                  </w:rPr>
                                                  <w:t xml:space="preserve">opean operators continue to look for acquisition opportunities, their North American counterparts will continue to focus on their home markets. The key feature of the </w:t>
                                                </w:r>
                                                <w:r>
                                                  <w:rPr>
                                                    <w:rFonts w:ascii="Arial" w:hAnsi="Arial" w:cs="Arial"/>
                                                    <w:b/>
                                                    <w:bCs/>
                                                    <w:color w:val="333333"/>
                                                    <w:sz w:val="18"/>
                                                    <w:szCs w:val="18"/>
                                                  </w:rPr>
                                                  <w:t>U.S.</w:t>
                                                </w:r>
                                                <w:r>
                                                  <w:rPr>
                                                    <w:rFonts w:ascii="Arial" w:hAnsi="Arial" w:cs="Arial"/>
                                                    <w:color w:val="333333"/>
                                                    <w:sz w:val="18"/>
                                                    <w:szCs w:val="18"/>
                                                  </w:rPr>
                                                  <w:t xml:space="preserve"> and </w:t>
                                                </w:r>
                                                <w:r>
                                                  <w:rPr>
                                                    <w:rFonts w:ascii="Arial" w:hAnsi="Arial" w:cs="Arial"/>
                                                    <w:b/>
                                                    <w:bCs/>
                                                    <w:color w:val="333333"/>
                                                    <w:sz w:val="18"/>
                                                    <w:szCs w:val="18"/>
                                                  </w:rPr>
                                                  <w:t>Canadian telecoms markets</w:t>
                                                </w:r>
                                                <w:r>
                                                  <w:rPr>
                                                    <w:rFonts w:ascii="Arial" w:hAnsi="Arial" w:cs="Arial"/>
                                                    <w:color w:val="333333"/>
                                                    <w:sz w:val="18"/>
                                                    <w:szCs w:val="18"/>
                                                  </w:rPr>
                                                  <w:t xml:space="preserve"> will continue to be consolidation throughout 2007. The</w:t>
                                                </w:r>
                                                <w:r>
                                                  <w:rPr>
                                                    <w:rFonts w:ascii="Arial" w:hAnsi="Arial" w:cs="Arial"/>
                                                    <w:color w:val="333333"/>
                                                    <w:sz w:val="18"/>
                                                    <w:szCs w:val="18"/>
                                                  </w:rPr>
                                                  <w:t>re are a number of smaller deals that could occur, with smaller rural operators consolidating or being acquired by larger operators. There is also the possibility of some mega-mergers, with deals between fixed and wireless players possible. The most likely</w:t>
                                                </w:r>
                                                <w:r>
                                                  <w:rPr>
                                                    <w:rFonts w:ascii="Arial" w:hAnsi="Arial" w:cs="Arial"/>
                                                    <w:color w:val="333333"/>
                                                    <w:sz w:val="18"/>
                                                    <w:szCs w:val="18"/>
                                                  </w:rPr>
                                                  <w:t xml:space="preserve"> is the acquisition of either QWEST or a mid-sized cable operator by T-Mobile, seeking to develop wireline assets for quad-play and fixed-to-mobile (FMC) services. Competitors such as Verizon could conceivably defensively play for this target, while AT&amp;T w</w:t>
                                                </w:r>
                                                <w:r>
                                                  <w:rPr>
                                                    <w:rFonts w:ascii="Arial" w:hAnsi="Arial" w:cs="Arial"/>
                                                    <w:color w:val="333333"/>
                                                    <w:sz w:val="18"/>
                                                    <w:szCs w:val="18"/>
                                                  </w:rPr>
                                                  <w:t>ill still be busily engaged in swallowing BellSouth. First place cable operator Comcast continues to deny any plans for an acquisition of Sprint Nextel, although some may argue that they protest too much.</w:t>
                                                </w:r>
                                              </w:p>
                                              <w:p w:rsidR="00000000" w:rsidRDefault="00E5110E">
                                                <w:pPr>
                                                  <w:numPr>
                                                    <w:ilvl w:val="0"/>
                                                    <w:numId w:val="10"/>
                                                  </w:numPr>
                                                  <w:spacing w:before="100" w:beforeAutospacing="1" w:after="100" w:afterAutospacing="1"/>
                                                  <w:rPr>
                                                    <w:rFonts w:ascii="Arial" w:hAnsi="Arial" w:cs="Arial"/>
                                                    <w:color w:val="333333"/>
                                                    <w:sz w:val="18"/>
                                                    <w:szCs w:val="18"/>
                                                  </w:rPr>
                                                </w:pPr>
                                                <w:r>
                                                  <w:rPr>
                                                    <w:rFonts w:ascii="Arial" w:hAnsi="Arial" w:cs="Arial"/>
                                                    <w:b/>
                                                    <w:bCs/>
                                                    <w:color w:val="333333"/>
                                                    <w:sz w:val="18"/>
                                                    <w:szCs w:val="18"/>
                                                  </w:rPr>
                                                  <w:t>AT&amp;T </w:t>
                                                </w:r>
                                                <w:r>
                                                  <w:rPr>
                                                    <w:rFonts w:ascii="Arial" w:hAnsi="Arial" w:cs="Arial"/>
                                                    <w:color w:val="333333"/>
                                                    <w:sz w:val="18"/>
                                                    <w:szCs w:val="18"/>
                                                  </w:rPr>
                                                  <w:t xml:space="preserve">and </w:t>
                                                </w:r>
                                                <w:r>
                                                  <w:rPr>
                                                    <w:rFonts w:ascii="Arial" w:hAnsi="Arial" w:cs="Arial"/>
                                                    <w:b/>
                                                    <w:bCs/>
                                                    <w:color w:val="333333"/>
                                                    <w:sz w:val="18"/>
                                                    <w:szCs w:val="18"/>
                                                  </w:rPr>
                                                  <w:t>Verizon</w:t>
                                                </w:r>
                                                <w:r>
                                                  <w:rPr>
                                                    <w:rFonts w:ascii="Arial" w:hAnsi="Arial" w:cs="Arial"/>
                                                    <w:color w:val="333333"/>
                                                    <w:sz w:val="18"/>
                                                    <w:szCs w:val="18"/>
                                                  </w:rPr>
                                                  <w:t>'s FTTx deployments will continue a</w:t>
                                                </w:r>
                                                <w:r>
                                                  <w:rPr>
                                                    <w:rFonts w:ascii="Arial" w:hAnsi="Arial" w:cs="Arial"/>
                                                    <w:color w:val="333333"/>
                                                    <w:sz w:val="18"/>
                                                    <w:szCs w:val="18"/>
                                                  </w:rPr>
                                                  <w:t>pace and 2007 will be the year when the United States sees major moves on the FMC front. T-Mobile USA has led with the launch of a consumer FMC product in the United States, leveraging its Wi-Fi network. The main telcos (AT&amp;T and Verizon) will be forced to</w:t>
                                                </w:r>
                                                <w:r>
                                                  <w:rPr>
                                                    <w:rFonts w:ascii="Arial" w:hAnsi="Arial" w:cs="Arial"/>
                                                    <w:color w:val="333333"/>
                                                    <w:sz w:val="18"/>
                                                    <w:szCs w:val="18"/>
                                                  </w:rPr>
                                                  <w:t xml:space="preserve"> introduce competing products in 2007, aided by the consolidation of Cingular's ownership. With the roll-out of IP-based multi-play and FMC services, the telco companies will continue developing a more integrated approach to see their role as facilitating </w:t>
                                                </w:r>
                                                <w:r>
                                                  <w:rPr>
                                                    <w:rFonts w:ascii="Arial" w:hAnsi="Arial" w:cs="Arial"/>
                                                    <w:color w:val="333333"/>
                                                    <w:sz w:val="18"/>
                                                    <w:szCs w:val="18"/>
                                                  </w:rPr>
                                                  <w:t>all communications and related services. In the business sector, this has been seen to some extent with purchases by AT&amp;T to provide consultancy services to small and medium-sized enterprises (SMEs) and brokering agreements to market products such as virtu</w:t>
                                                </w:r>
                                                <w:r>
                                                  <w:rPr>
                                                    <w:rFonts w:ascii="Arial" w:hAnsi="Arial" w:cs="Arial"/>
                                                    <w:color w:val="333333"/>
                                                    <w:sz w:val="18"/>
                                                    <w:szCs w:val="18"/>
                                                  </w:rPr>
                                                  <w:t xml:space="preserve">al meeting rooms. In the consumer sector the carriers have continued to develop TV services and are adding in a range of services such as gaming, service, and information </w:t>
                                                </w:r>
                                                <w:r>
                                                  <w:rPr>
                                                    <w:rFonts w:ascii="Arial" w:hAnsi="Arial" w:cs="Arial"/>
                                                    <w:color w:val="333333"/>
                                                    <w:sz w:val="18"/>
                                                    <w:szCs w:val="18"/>
                                                  </w:rPr>
                                                  <w:lastRenderedPageBreak/>
                                                  <w:t>portals. As set-top boxes' functionality is developed, home control will move from re</w:t>
                                                </w:r>
                                                <w:r>
                                                  <w:rPr>
                                                    <w:rFonts w:ascii="Arial" w:hAnsi="Arial" w:cs="Arial"/>
                                                    <w:color w:val="333333"/>
                                                    <w:sz w:val="18"/>
                                                    <w:szCs w:val="18"/>
                                                  </w:rPr>
                                                  <w:t>mote control of TV and entertainment facilities—i.e., set your video over your phone—to integrate security, and, ultimately, environmental and stores control. In Europe, a light will appear at the end of the tunnel for IP TV: by the second half of the year</w:t>
                                                </w:r>
                                                <w:r>
                                                  <w:rPr>
                                                    <w:rFonts w:ascii="Arial" w:hAnsi="Arial" w:cs="Arial"/>
                                                    <w:color w:val="333333"/>
                                                    <w:sz w:val="18"/>
                                                    <w:szCs w:val="18"/>
                                                  </w:rPr>
                                                  <w:t xml:space="preserve">, almost every European incumbent telco will have launched IP TV service. The new opportunities it will present will encourage telcos to commit to FTTx. </w:t>
                                                </w:r>
                                              </w:p>
                                              <w:p w:rsidR="00000000" w:rsidRDefault="00E5110E">
                                                <w:pPr>
                                                  <w:numPr>
                                                    <w:ilvl w:val="0"/>
                                                    <w:numId w:val="11"/>
                                                  </w:numPr>
                                                  <w:spacing w:before="100" w:beforeAutospacing="1" w:after="100" w:afterAutospacing="1"/>
                                                  <w:rPr>
                                                    <w:rFonts w:ascii="Arial" w:hAnsi="Arial" w:cs="Arial"/>
                                                    <w:color w:val="333333"/>
                                                    <w:sz w:val="18"/>
                                                    <w:szCs w:val="18"/>
                                                  </w:rPr>
                                                </w:pPr>
                                                <w:r>
                                                  <w:rPr>
                                                    <w:rFonts w:ascii="Arial" w:hAnsi="Arial" w:cs="Arial"/>
                                                    <w:color w:val="333333"/>
                                                    <w:sz w:val="18"/>
                                                    <w:szCs w:val="18"/>
                                                  </w:rPr>
                                                  <w:t>Convergence in the United States will stimulate innovation, but plain old economics and customer behav</w:t>
                                                </w:r>
                                                <w:r>
                                                  <w:rPr>
                                                    <w:rFonts w:ascii="Arial" w:hAnsi="Arial" w:cs="Arial"/>
                                                    <w:color w:val="333333"/>
                                                    <w:sz w:val="18"/>
                                                    <w:szCs w:val="18"/>
                                                  </w:rPr>
                                                  <w:t xml:space="preserve">iour could spoil the party. A </w:t>
                                                </w:r>
                                                <w:r>
                                                  <w:rPr>
                                                    <w:rFonts w:ascii="Arial" w:hAnsi="Arial" w:cs="Arial"/>
                                                    <w:b/>
                                                    <w:bCs/>
                                                    <w:color w:val="333333"/>
                                                    <w:sz w:val="18"/>
                                                    <w:szCs w:val="18"/>
                                                  </w:rPr>
                                                  <w:t>weakening U.S. economy</w:t>
                                                </w:r>
                                                <w:r>
                                                  <w:rPr>
                                                    <w:rFonts w:ascii="Arial" w:hAnsi="Arial" w:cs="Arial"/>
                                                    <w:color w:val="333333"/>
                                                    <w:sz w:val="18"/>
                                                    <w:szCs w:val="18"/>
                                                  </w:rPr>
                                                  <w:t xml:space="preserve"> may reduce growth in mobile subscriptions and particularly affect growth in data usage as users decide not to spend on new and non-vital services. The entry of cable TV operators as new competitors into </w:t>
                                                </w:r>
                                                <w:r>
                                                  <w:rPr>
                                                    <w:rFonts w:ascii="Arial" w:hAnsi="Arial" w:cs="Arial"/>
                                                    <w:color w:val="333333"/>
                                                    <w:sz w:val="18"/>
                                                    <w:szCs w:val="18"/>
                                                  </w:rPr>
                                                  <w:t xml:space="preserve">the wireless market could reduce mobile ARPU levels. We are also likely to see increasing failures amongst non-facilities-based operators—MVNOS, ISPs, and service providers. </w:t>
                                                </w:r>
                                              </w:p>
                                              <w:p w:rsidR="00000000" w:rsidRDefault="00E5110E">
                                                <w:pPr>
                                                  <w:pStyle w:val="NormaleWeb"/>
                                                  <w:rPr>
                                                    <w:rFonts w:ascii="Arial" w:hAnsi="Arial" w:cs="Arial"/>
                                                    <w:color w:val="333333"/>
                                                    <w:sz w:val="18"/>
                                                    <w:szCs w:val="18"/>
                                                  </w:rPr>
                                                </w:pPr>
                                                <w:r>
                                                  <w:rPr>
                                                    <w:rFonts w:ascii="Arial" w:hAnsi="Arial" w:cs="Arial"/>
                                                    <w:color w:val="333333"/>
                                                    <w:sz w:val="18"/>
                                                    <w:szCs w:val="18"/>
                                                  </w:rPr>
                                                  <w:t xml:space="preserve">We think that a number of </w:t>
                                                </w:r>
                                                <w:r>
                                                  <w:rPr>
                                                    <w:rFonts w:ascii="Arial" w:hAnsi="Arial" w:cs="Arial"/>
                                                    <w:b/>
                                                    <w:bCs/>
                                                    <w:color w:val="333333"/>
                                                    <w:sz w:val="18"/>
                                                    <w:szCs w:val="18"/>
                                                  </w:rPr>
                                                  <w:t>services</w:t>
                                                </w:r>
                                                <w:r>
                                                  <w:rPr>
                                                    <w:rFonts w:ascii="Arial" w:hAnsi="Arial" w:cs="Arial"/>
                                                    <w:color w:val="333333"/>
                                                    <w:sz w:val="18"/>
                                                    <w:szCs w:val="18"/>
                                                  </w:rPr>
                                                  <w:t xml:space="preserve"> and </w:t>
                                                </w:r>
                                                <w:r>
                                                  <w:rPr>
                                                    <w:rFonts w:ascii="Arial" w:hAnsi="Arial" w:cs="Arial"/>
                                                    <w:b/>
                                                    <w:bCs/>
                                                    <w:color w:val="333333"/>
                                                    <w:sz w:val="18"/>
                                                    <w:szCs w:val="18"/>
                                                  </w:rPr>
                                                  <w:t>technologies</w:t>
                                                </w:r>
                                                <w:r>
                                                  <w:rPr>
                                                    <w:rFonts w:ascii="Arial" w:hAnsi="Arial" w:cs="Arial"/>
                                                    <w:color w:val="333333"/>
                                                    <w:sz w:val="18"/>
                                                    <w:szCs w:val="18"/>
                                                  </w:rPr>
                                                  <w:t xml:space="preserve"> will gain traction or else fa</w:t>
                                                </w:r>
                                                <w:r>
                                                  <w:rPr>
                                                    <w:rFonts w:ascii="Arial" w:hAnsi="Arial" w:cs="Arial"/>
                                                    <w:color w:val="333333"/>
                                                    <w:sz w:val="18"/>
                                                    <w:szCs w:val="18"/>
                                                  </w:rPr>
                                                  <w:t>il to meet previous expectations in 2007. We predict:</w:t>
                                                </w:r>
                                              </w:p>
                                              <w:p w:rsidR="00000000" w:rsidRDefault="00E5110E">
                                                <w:pPr>
                                                  <w:numPr>
                                                    <w:ilvl w:val="0"/>
                                                    <w:numId w:val="12"/>
                                                  </w:numPr>
                                                  <w:spacing w:before="100" w:beforeAutospacing="1" w:after="100" w:afterAutospacing="1"/>
                                                  <w:rPr>
                                                    <w:rFonts w:ascii="Arial" w:hAnsi="Arial" w:cs="Arial"/>
                                                    <w:color w:val="333333"/>
                                                    <w:sz w:val="18"/>
                                                    <w:szCs w:val="18"/>
                                                  </w:rPr>
                                                </w:pPr>
                                                <w:r>
                                                  <w:rPr>
                                                    <w:rFonts w:ascii="Arial" w:hAnsi="Arial" w:cs="Arial"/>
                                                    <w:color w:val="333333"/>
                                                    <w:sz w:val="18"/>
                                                    <w:szCs w:val="18"/>
                                                  </w:rPr>
                                                  <w:t>Massive growth in the field of machine to machine (</w:t>
                                                </w:r>
                                                <w:r>
                                                  <w:rPr>
                                                    <w:rFonts w:ascii="Arial" w:hAnsi="Arial" w:cs="Arial"/>
                                                    <w:b/>
                                                    <w:bCs/>
                                                    <w:color w:val="333333"/>
                                                    <w:sz w:val="18"/>
                                                    <w:szCs w:val="18"/>
                                                  </w:rPr>
                                                  <w:t>M2M</w:t>
                                                </w:r>
                                                <w:r>
                                                  <w:rPr>
                                                    <w:rFonts w:ascii="Arial" w:hAnsi="Arial" w:cs="Arial"/>
                                                    <w:color w:val="333333"/>
                                                    <w:sz w:val="18"/>
                                                    <w:szCs w:val="18"/>
                                                  </w:rPr>
                                                  <w:t>) communications—which could become a significant driver of data growth, particularly over wireless networks. This will be supported by growth in IP</w:t>
                                                </w:r>
                                                <w:r>
                                                  <w:rPr>
                                                    <w:rFonts w:ascii="Arial" w:hAnsi="Arial" w:cs="Arial"/>
                                                    <w:color w:val="333333"/>
                                                    <w:sz w:val="18"/>
                                                    <w:szCs w:val="18"/>
                                                  </w:rPr>
                                                  <w:t xml:space="preserve">v6 support </w:t>
                                                </w:r>
                                              </w:p>
                                              <w:p w:rsidR="00000000" w:rsidRDefault="00E5110E">
                                                <w:pPr>
                                                  <w:numPr>
                                                    <w:ilvl w:val="0"/>
                                                    <w:numId w:val="13"/>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Mobile operators will begin to market handsets with integrated instant messaging clients, presence-enabled address books, and VoIP. </w:t>
                                                </w:r>
                                              </w:p>
                                              <w:p w:rsidR="00000000" w:rsidRDefault="00E5110E">
                                                <w:pPr>
                                                  <w:numPr>
                                                    <w:ilvl w:val="0"/>
                                                    <w:numId w:val="14"/>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For the United Kingdom, </w:t>
                                                </w:r>
                                                <w:r>
                                                  <w:rPr>
                                                    <w:rFonts w:ascii="Arial" w:hAnsi="Arial" w:cs="Arial"/>
                                                    <w:b/>
                                                    <w:bCs/>
                                                    <w:color w:val="333333"/>
                                                    <w:sz w:val="18"/>
                                                    <w:szCs w:val="18"/>
                                                  </w:rPr>
                                                  <w:t>DAB</w:t>
                                                </w:r>
                                                <w:r>
                                                  <w:rPr>
                                                    <w:rFonts w:ascii="Arial" w:hAnsi="Arial" w:cs="Arial"/>
                                                    <w:color w:val="333333"/>
                                                    <w:sz w:val="18"/>
                                                    <w:szCs w:val="18"/>
                                                  </w:rPr>
                                                  <w:t xml:space="preserve"> and </w:t>
                                                </w:r>
                                                <w:r>
                                                  <w:rPr>
                                                    <w:rFonts w:ascii="Arial" w:hAnsi="Arial" w:cs="Arial"/>
                                                    <w:b/>
                                                    <w:bCs/>
                                                    <w:color w:val="333333"/>
                                                    <w:sz w:val="18"/>
                                                    <w:szCs w:val="18"/>
                                                  </w:rPr>
                                                  <w:t>DVB-H</w:t>
                                                </w:r>
                                                <w:r>
                                                  <w:rPr>
                                                    <w:rFonts w:ascii="Arial" w:hAnsi="Arial" w:cs="Arial"/>
                                                    <w:color w:val="333333"/>
                                                    <w:sz w:val="18"/>
                                                    <w:szCs w:val="18"/>
                                                  </w:rPr>
                                                  <w:t xml:space="preserve"> are dead. Hail TDtv and 3G MBMS: Despite efforts by BT and O2, DAB and DV</w:t>
                                                </w:r>
                                                <w:r>
                                                  <w:rPr>
                                                    <w:rFonts w:ascii="Arial" w:hAnsi="Arial" w:cs="Arial"/>
                                                    <w:color w:val="333333"/>
                                                    <w:sz w:val="18"/>
                                                    <w:szCs w:val="18"/>
                                                  </w:rPr>
                                                  <w:t>B-H are simply not going to become the platforms for mobile TV in the United Kingdom. DAB lacks scale with a one-man-squad in BT. DVB-H lacks spectrum which can only become available in 2012. If the U.K. mobile operators succeed in their trial for TDtv and</w:t>
                                                </w:r>
                                                <w:r>
                                                  <w:rPr>
                                                    <w:rFonts w:ascii="Arial" w:hAnsi="Arial" w:cs="Arial"/>
                                                    <w:color w:val="333333"/>
                                                    <w:sz w:val="18"/>
                                                    <w:szCs w:val="18"/>
                                                  </w:rPr>
                                                  <w:t xml:space="preserve"> 3G MBMS, then that is the direction they will go. Otherwise, they will just continue what they are doing now.</w:t>
                                                </w:r>
                                              </w:p>
                                              <w:p w:rsidR="00000000" w:rsidRDefault="00E5110E">
                                                <w:pPr>
                                                  <w:numPr>
                                                    <w:ilvl w:val="0"/>
                                                    <w:numId w:val="15"/>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Likewise, in Europe, </w:t>
                                                </w:r>
                                                <w:r>
                                                  <w:rPr>
                                                    <w:rFonts w:ascii="Arial" w:hAnsi="Arial" w:cs="Arial"/>
                                                    <w:b/>
                                                    <w:bCs/>
                                                    <w:color w:val="333333"/>
                                                    <w:sz w:val="18"/>
                                                    <w:szCs w:val="18"/>
                                                  </w:rPr>
                                                  <w:t>WiMAX</w:t>
                                                </w:r>
                                                <w:r>
                                                  <w:rPr>
                                                    <w:rFonts w:ascii="Arial" w:hAnsi="Arial" w:cs="Arial"/>
                                                    <w:color w:val="333333"/>
                                                    <w:sz w:val="18"/>
                                                    <w:szCs w:val="18"/>
                                                  </w:rPr>
                                                  <w:t xml:space="preserve"> will still not take off in the short term. Despite the hype, WiMAX will still not take off in 2007. There is simply no</w:t>
                                                </w:r>
                                                <w:r>
                                                  <w:rPr>
                                                    <w:rFonts w:ascii="Arial" w:hAnsi="Arial" w:cs="Arial"/>
                                                    <w:color w:val="333333"/>
                                                    <w:sz w:val="18"/>
                                                    <w:szCs w:val="18"/>
                                                  </w:rPr>
                                                  <w:t xml:space="preserve"> mass market for WiMAX in Western Europe. Mobile WiMAX will suffer the same fate, as Western European mobile operators would care little about it. The experience of South Korea points towards caution. In South Korea, Korea Telecom's WiBro (mobile WiMAX) se</w:t>
                                                </w:r>
                                                <w:r>
                                                  <w:rPr>
                                                    <w:rFonts w:ascii="Arial" w:hAnsi="Arial" w:cs="Arial"/>
                                                    <w:color w:val="333333"/>
                                                    <w:sz w:val="18"/>
                                                    <w:szCs w:val="18"/>
                                                  </w:rPr>
                                                  <w:t>rvice, which targets high-end mobile users, is unlikely to have significant take-up, as this new service has yet to come up with killer applications to differentiate itself from rival technologies. Europe's mobile operators will carpet the region with HSDP</w:t>
                                                </w:r>
                                                <w:r>
                                                  <w:rPr>
                                                    <w:rFonts w:ascii="Arial" w:hAnsi="Arial" w:cs="Arial"/>
                                                    <w:color w:val="333333"/>
                                                    <w:sz w:val="18"/>
                                                    <w:szCs w:val="18"/>
                                                  </w:rPr>
                                                  <w:t xml:space="preserve">A while looking for life beyond 3.5G. </w:t>
                                                </w:r>
                                              </w:p>
                                              <w:p w:rsidR="00000000" w:rsidRDefault="00E5110E">
                                                <w:pPr>
                                                  <w:pStyle w:val="NormaleWeb"/>
                                                  <w:rPr>
                                                    <w:rFonts w:ascii="Arial" w:hAnsi="Arial" w:cs="Arial"/>
                                                    <w:color w:val="333333"/>
                                                    <w:sz w:val="18"/>
                                                    <w:szCs w:val="18"/>
                                                  </w:rPr>
                                                </w:pPr>
                                                <w:r>
                                                  <w:rPr>
                                                    <w:rFonts w:ascii="Arial" w:hAnsi="Arial" w:cs="Arial"/>
                                                    <w:color w:val="333333"/>
                                                    <w:sz w:val="18"/>
                                                    <w:szCs w:val="18"/>
                                                  </w:rPr>
                                                  <w:t>In terms of overall industry growth, we expect:</w:t>
                                                </w:r>
                                              </w:p>
                                              <w:p w:rsidR="00000000" w:rsidRDefault="00E5110E">
                                                <w:pPr>
                                                  <w:numPr>
                                                    <w:ilvl w:val="0"/>
                                                    <w:numId w:val="16"/>
                                                  </w:numPr>
                                                  <w:spacing w:before="100" w:beforeAutospacing="1" w:after="100" w:afterAutospacing="1"/>
                                                  <w:rPr>
                                                    <w:rFonts w:ascii="Arial" w:hAnsi="Arial" w:cs="Arial"/>
                                                    <w:color w:val="333333"/>
                                                    <w:sz w:val="18"/>
                                                    <w:szCs w:val="18"/>
                                                  </w:rPr>
                                                </w:pPr>
                                                <w:r>
                                                  <w:rPr>
                                                    <w:rFonts w:ascii="Arial" w:hAnsi="Arial" w:cs="Arial"/>
                                                    <w:color w:val="333333"/>
                                                    <w:sz w:val="18"/>
                                                    <w:szCs w:val="18"/>
                                                  </w:rPr>
                                                  <w:t>Net additions in developing mobile markets, notably in the pre-pay segment, will continue to grow apace, but rates of growth will be significantly reduced from the 60-70</w:t>
                                                </w:r>
                                                <w:r>
                                                  <w:rPr>
                                                    <w:rFonts w:ascii="Arial" w:hAnsi="Arial" w:cs="Arial"/>
                                                    <w:color w:val="333333"/>
                                                    <w:sz w:val="18"/>
                                                    <w:szCs w:val="18"/>
                                                  </w:rPr>
                                                  <w:t>% year-on-year growth seen in 2006.</w:t>
                                                </w:r>
                                              </w:p>
                                              <w:p w:rsidR="00000000" w:rsidRDefault="00E5110E">
                                                <w:pPr>
                                                  <w:numPr>
                                                    <w:ilvl w:val="0"/>
                                                    <w:numId w:val="17"/>
                                                  </w:numPr>
                                                  <w:spacing w:before="100" w:beforeAutospacing="1" w:after="100" w:afterAutospacing="1"/>
                                                  <w:rPr>
                                                    <w:rFonts w:ascii="Arial" w:hAnsi="Arial" w:cs="Arial"/>
                                                    <w:color w:val="333333"/>
                                                    <w:sz w:val="18"/>
                                                    <w:szCs w:val="18"/>
                                                  </w:rPr>
                                                </w:pPr>
                                                <w:r>
                                                  <w:rPr>
                                                    <w:rFonts w:ascii="Arial" w:hAnsi="Arial" w:cs="Arial"/>
                                                    <w:color w:val="333333"/>
                                                    <w:sz w:val="18"/>
                                                    <w:szCs w:val="18"/>
                                                  </w:rPr>
                                                  <w:t>Post-paid growth for the developed markets will be largely dependant on the ability of operators to provide popular content and applications on the new high-end handsets. We expect the 7-8% year-on-year growth in net add</w:t>
                                                </w:r>
                                                <w:r>
                                                  <w:rPr>
                                                    <w:rFonts w:ascii="Arial" w:hAnsi="Arial" w:cs="Arial"/>
                                                    <w:color w:val="333333"/>
                                                    <w:sz w:val="18"/>
                                                    <w:szCs w:val="18"/>
                                                  </w:rPr>
                                                  <w:t xml:space="preserve">itions to continue. </w:t>
                                                </w:r>
                                              </w:p>
                                              <w:p w:rsidR="00000000" w:rsidRDefault="00E5110E">
                                                <w:pPr>
                                                  <w:numPr>
                                                    <w:ilvl w:val="0"/>
                                                    <w:numId w:val="18"/>
                                                  </w:numPr>
                                                  <w:spacing w:before="100" w:beforeAutospacing="1" w:after="100" w:afterAutospacing="1"/>
                                                  <w:rPr>
                                                    <w:rFonts w:ascii="Arial" w:hAnsi="Arial" w:cs="Arial"/>
                                                    <w:color w:val="333333"/>
                                                    <w:sz w:val="18"/>
                                                    <w:szCs w:val="18"/>
                                                  </w:rPr>
                                                </w:pPr>
                                                <w:r>
                                                  <w:rPr>
                                                    <w:rFonts w:ascii="Arial" w:hAnsi="Arial" w:cs="Arial"/>
                                                    <w:color w:val="333333"/>
                                                    <w:sz w:val="18"/>
                                                    <w:szCs w:val="18"/>
                                                  </w:rPr>
                                                  <w:t>Pre-paid growth in Western Europe and Japan will remain static, or in some cases decline. However, the United States should see uptake of pre-paid services continuing to increase.</w:t>
                                                </w:r>
                                              </w:p>
                                              <w:p w:rsidR="00000000" w:rsidRDefault="00E5110E">
                                                <w:pPr>
                                                  <w:numPr>
                                                    <w:ilvl w:val="0"/>
                                                    <w:numId w:val="19"/>
                                                  </w:numPr>
                                                  <w:spacing w:before="100" w:beforeAutospacing="1" w:after="100" w:afterAutospacing="1"/>
                                                  <w:rPr>
                                                    <w:rFonts w:ascii="Arial" w:hAnsi="Arial" w:cs="Arial"/>
                                                    <w:color w:val="333333"/>
                                                    <w:sz w:val="18"/>
                                                    <w:szCs w:val="18"/>
                                                  </w:rPr>
                                                </w:pPr>
                                                <w:r>
                                                  <w:rPr>
                                                    <w:rFonts w:ascii="Arial" w:hAnsi="Arial" w:cs="Arial"/>
                                                    <w:color w:val="333333"/>
                                                    <w:sz w:val="18"/>
                                                    <w:szCs w:val="18"/>
                                                  </w:rPr>
                                                  <w:lastRenderedPageBreak/>
                                                  <w:t xml:space="preserve">In Western Europe </w:t>
                                                </w:r>
                                                <w:r>
                                                  <w:rPr>
                                                    <w:rFonts w:ascii="Arial" w:hAnsi="Arial" w:cs="Arial"/>
                                                    <w:color w:val="333333"/>
                                                    <w:sz w:val="18"/>
                                                    <w:szCs w:val="18"/>
                                                  </w:rPr>
                                                  <w:t xml:space="preserve">there will be modest growth in mobile data services: as the frenzied ring tone market goes into decline, new revenues from premium SMS and mobile payment services will step up to fill the gap. Usage and revenue will grow, at most by 5% year-on-year. </w:t>
                                                </w:r>
                                              </w:p>
                                              <w:p w:rsidR="00000000" w:rsidRDefault="00E5110E">
                                                <w:pPr>
                                                  <w:numPr>
                                                    <w:ilvl w:val="0"/>
                                                    <w:numId w:val="20"/>
                                                  </w:numPr>
                                                  <w:spacing w:before="100" w:beforeAutospacing="1" w:after="100" w:afterAutospacing="1"/>
                                                  <w:rPr>
                                                    <w:rFonts w:ascii="Arial" w:hAnsi="Arial" w:cs="Arial"/>
                                                    <w:color w:val="333333"/>
                                                    <w:sz w:val="18"/>
                                                    <w:szCs w:val="18"/>
                                                  </w:rPr>
                                                </w:pPr>
                                                <w:r>
                                                  <w:rPr>
                                                    <w:rFonts w:ascii="Arial" w:hAnsi="Arial" w:cs="Arial"/>
                                                    <w:color w:val="333333"/>
                                                    <w:sz w:val="18"/>
                                                    <w:szCs w:val="18"/>
                                                  </w:rPr>
                                                  <w:t>Russi</w:t>
                                                </w:r>
                                                <w:r>
                                                  <w:rPr>
                                                    <w:rFonts w:ascii="Arial" w:hAnsi="Arial" w:cs="Arial"/>
                                                    <w:color w:val="333333"/>
                                                    <w:sz w:val="18"/>
                                                    <w:szCs w:val="18"/>
                                                  </w:rPr>
                                                  <w:t>a is set to be a hot broadband market in 2007, while China, India, Indonesia, Pakistan, and Vietnam will help power mobile market growth.</w:t>
                                                </w:r>
                                              </w:p>
                                            </w:tc>
                                          </w:tr>
                                          <w:tr w:rsidR="00000000">
                                            <w:trPr>
                                              <w:tblCellSpacing w:w="0" w:type="dxa"/>
                                            </w:trPr>
                                            <w:tc>
                                              <w:tcPr>
                                                <w:tcW w:w="0" w:type="auto"/>
                                                <w:tcMar>
                                                  <w:top w:w="75" w:type="dxa"/>
                                                  <w:left w:w="75" w:type="dxa"/>
                                                  <w:bottom w:w="75" w:type="dxa"/>
                                                  <w:right w:w="75" w:type="dxa"/>
                                                </w:tcMar>
                                                <w:vAlign w:val="center"/>
                                                <w:hideMark/>
                                              </w:tcPr>
                                              <w:tbl>
                                                <w:tblPr>
                                                  <w:tblStyle w:val="TableNormal"/>
                                                  <w:tblW w:w="5000" w:type="pct"/>
                                                  <w:tblCellSpacing w:w="0" w:type="dxa"/>
                                                  <w:tblInd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2100"/>
                                                  <w:gridCol w:w="6224"/>
                                                </w:tblGrid>
                                                <w:tr w:rsidR="00000000">
                                                  <w:trPr>
                                                    <w:tblCellSpacing w:w="0" w:type="dxa"/>
                                                  </w:trPr>
                                                  <w:tc>
                                                    <w:tcPr>
                                                      <w:tcW w:w="2100" w:type="dxa"/>
                                                      <w:tcBorders>
                                                        <w:top w:val="outset" w:sz="6" w:space="0" w:color="FFFFFF"/>
                                                        <w:left w:val="outset" w:sz="6" w:space="0" w:color="FFFFFF"/>
                                                        <w:bottom w:val="outset" w:sz="6" w:space="0" w:color="FFFFFF"/>
                                                        <w:right w:val="outset" w:sz="6" w:space="0" w:color="FFFFFF"/>
                                                      </w:tcBorders>
                                                      <w:shd w:val="clear" w:color="auto" w:fill="C2C8D4"/>
                                                      <w:vAlign w:val="center"/>
                                                    </w:tcPr>
                                                    <w:p w:rsidR="00000000" w:rsidRDefault="00E5110E">
                                                      <w:pPr>
                                                        <w:jc w:val="center"/>
                                                        <w:rPr>
                                                          <w:rFonts w:ascii="Verdana" w:hAnsi="Verdana"/>
                                                          <w:b/>
                                                          <w:bCs/>
                                                          <w:color w:val="000000"/>
                                                          <w:sz w:val="15"/>
                                                          <w:szCs w:val="15"/>
                                                        </w:rPr>
                                                      </w:pPr>
                                                    </w:p>
                                                  </w:tc>
                                                  <w:tc>
                                                    <w:tcPr>
                                                      <w:tcW w:w="0" w:type="auto"/>
                                                      <w:tcBorders>
                                                        <w:top w:val="outset" w:sz="6" w:space="0" w:color="FFFFFF"/>
                                                        <w:left w:val="outset" w:sz="6" w:space="0" w:color="FFFFFF"/>
                                                        <w:bottom w:val="outset" w:sz="6" w:space="0" w:color="FFFFFF"/>
                                                        <w:right w:val="outset" w:sz="6" w:space="0" w:color="FFFFFF"/>
                                                      </w:tcBorders>
                                                      <w:shd w:val="clear" w:color="auto" w:fill="E2E4E9"/>
                                                      <w:vAlign w:val="center"/>
                                                    </w:tcPr>
                                                    <w:p w:rsidR="00000000" w:rsidRDefault="00E5110E">
                                                      <w:pPr>
                                                        <w:rPr>
                                                          <w:color w:val="4B4B4B"/>
                                                        </w:rPr>
                                                      </w:pPr>
                                                    </w:p>
                                                  </w:tc>
                                                </w:tr>
                                              </w:tbl>
                                              <w:p w:rsidR="00000000" w:rsidRDefault="00E5110E">
                                                <w:pPr>
                                                  <w:rPr>
                                                    <w:color w:val="4B4B4B"/>
                                                  </w:rPr>
                                                </w:pPr>
                                              </w:p>
                                            </w:tc>
                                          </w:tr>
                                        </w:tbl>
                                        <w:p w:rsidR="00000000" w:rsidRDefault="00E5110E">
                                          <w:pPr>
                                            <w:rPr>
                                              <w:color w:val="4B4B4B"/>
                                            </w:rPr>
                                          </w:pPr>
                                        </w:p>
                                      </w:tc>
                                    </w:tr>
                                  </w:tbl>
                                  <w:p w:rsidR="00000000" w:rsidRDefault="00E5110E">
                                    <w:pPr>
                                      <w:rPr>
                                        <w:color w:val="4B4B4B"/>
                                      </w:rPr>
                                    </w:pPr>
                                  </w:p>
                                </w:tc>
                              </w:tr>
                            </w:tbl>
                            <w:p w:rsidR="00000000" w:rsidRDefault="00E5110E">
                              <w:pPr>
                                <w:rPr>
                                  <w:color w:val="4B4B4B"/>
                                </w:rPr>
                              </w:pPr>
                            </w:p>
                          </w:tc>
                        </w:tr>
                        <w:tr w:rsidR="00000000">
                          <w:trPr>
                            <w:tblCellSpacing w:w="0" w:type="dxa"/>
                          </w:trPr>
                          <w:tc>
                            <w:tcPr>
                              <w:tcW w:w="5000" w:type="pct"/>
                              <w:vAlign w:val="center"/>
                              <w:hideMark/>
                            </w:tcPr>
                            <w:tbl>
                              <w:tblPr>
                                <w:tblStyle w:val="TableNormal"/>
                                <w:tblW w:w="5000" w:type="pct"/>
                                <w:tblCellSpacing w:w="0" w:type="dxa"/>
                                <w:tblInd w:w="0" w:type="dxa"/>
                                <w:tblCellMar>
                                  <w:left w:w="0" w:type="dxa"/>
                                  <w:right w:w="0" w:type="dxa"/>
                                </w:tblCellMar>
                                <w:tblLook w:val="04A0" w:firstRow="1" w:lastRow="0" w:firstColumn="1" w:lastColumn="0" w:noHBand="0" w:noVBand="1"/>
                              </w:tblPr>
                              <w:tblGrid>
                                <w:gridCol w:w="84"/>
                                <w:gridCol w:w="6006"/>
                                <w:gridCol w:w="2550"/>
                              </w:tblGrid>
                              <w:tr w:rsidR="00000000">
                                <w:trPr>
                                  <w:tblCellSpacing w:w="0" w:type="dxa"/>
                                </w:trPr>
                                <w:tc>
                                  <w:tcPr>
                                    <w:tcW w:w="5000" w:type="pct"/>
                                    <w:gridSpan w:val="3"/>
                                    <w:vAlign w:val="center"/>
                                    <w:hideMark/>
                                  </w:tcPr>
                                  <w:p w:rsidR="00000000" w:rsidRDefault="00E5110E">
                                    <w:pPr>
                                      <w:rPr>
                                        <w:color w:val="4B4B4B"/>
                                      </w:rPr>
                                    </w:pPr>
                                    <w:r>
                                      <w:rPr>
                                        <w:color w:val="4B4B4B"/>
                                      </w:rPr>
                                      <w:lastRenderedPageBreak/>
                                      <w:t xml:space="preserve">  </w:t>
                                    </w:r>
                                  </w:p>
                                </w:tc>
                              </w:tr>
                              <w:tr w:rsidR="00000000">
                                <w:trPr>
                                  <w:trHeight w:val="375"/>
                                  <w:tblCellSpacing w:w="0" w:type="dxa"/>
                                </w:trPr>
                                <w:tc>
                                  <w:tcPr>
                                    <w:tcW w:w="0" w:type="auto"/>
                                    <w:vAlign w:val="center"/>
                                    <w:hideMark/>
                                  </w:tcPr>
                                  <w:p w:rsidR="00000000" w:rsidRDefault="00E5110E">
                                    <w:pPr>
                                      <w:rPr>
                                        <w:rFonts w:ascii="Arial" w:hAnsi="Arial" w:cs="Arial"/>
                                        <w:color w:val="333333"/>
                                        <w:sz w:val="15"/>
                                        <w:szCs w:val="15"/>
                                      </w:rPr>
                                    </w:pPr>
                                    <w:r>
                                      <w:rPr>
                                        <w:rFonts w:ascii="Arial" w:hAnsi="Arial" w:cs="Arial"/>
                                        <w:color w:val="333333"/>
                                        <w:sz w:val="15"/>
                                        <w:szCs w:val="15"/>
                                      </w:rPr>
                                      <w:t>  </w:t>
                                    </w:r>
                                  </w:p>
                                </w:tc>
                                <w:tc>
                                  <w:tcPr>
                                    <w:tcW w:w="3500" w:type="pct"/>
                                    <w:vAlign w:val="center"/>
                                    <w:hideMark/>
                                  </w:tcPr>
                                  <w:p w:rsidR="00000000" w:rsidRDefault="00E5110E">
                                    <w:pPr>
                                      <w:rPr>
                                        <w:rFonts w:ascii="Arial" w:hAnsi="Arial" w:cs="Arial"/>
                                        <w:color w:val="333333"/>
                                        <w:sz w:val="15"/>
                                        <w:szCs w:val="15"/>
                                      </w:rPr>
                                    </w:pPr>
                                    <w:r>
                                      <w:rPr>
                                        <w:rFonts w:ascii="Arial" w:hAnsi="Arial" w:cs="Arial"/>
                                        <w:color w:val="333333"/>
                                        <w:sz w:val="15"/>
                                        <w:szCs w:val="15"/>
                                      </w:rPr>
                                      <w:t>Copyright ©2007 Global Insight Inc. Reproduction in whole or in part prohibited except by permission. All Rights Reserved</w:t>
                                    </w:r>
                                    <w:r>
                                      <w:rPr>
                                        <w:rFonts w:ascii="Arial" w:hAnsi="Arial" w:cs="Arial"/>
                                        <w:color w:val="333333"/>
                                        <w:sz w:val="15"/>
                                        <w:szCs w:val="15"/>
                                      </w:rPr>
                                      <w:br/>
                                      <w:t>Information has been obtained by sources believed to be reliable. However, because of the possibility of human or mechanical errors by</w:t>
                                    </w:r>
                                    <w:r>
                                      <w:rPr>
                                        <w:rFonts w:ascii="Arial" w:hAnsi="Arial" w:cs="Arial"/>
                                        <w:color w:val="333333"/>
                                        <w:sz w:val="15"/>
                                        <w:szCs w:val="15"/>
                                      </w:rPr>
                                      <w:t xml:space="preserve"> our sources, Global Insight Inc. does not guarantee the accuracy, adequacy, or completeness of any information and is not responsible for any errors or omissions or for the results obtained from the use of such information. http://www.globalinsight.com/ </w:t>
                                    </w:r>
                                  </w:p>
                                </w:tc>
                                <w:tc>
                                  <w:tcPr>
                                    <w:tcW w:w="1500" w:type="pct"/>
                                    <w:vAlign w:val="center"/>
                                    <w:hideMark/>
                                  </w:tcPr>
                                  <w:p w:rsidR="00000000" w:rsidRDefault="00E5110E">
                                    <w:pPr>
                                      <w:jc w:val="right"/>
                                      <w:rPr>
                                        <w:rFonts w:ascii="Arial" w:hAnsi="Arial" w:cs="Arial"/>
                                        <w:b/>
                                        <w:bCs/>
                                        <w:color w:val="004084"/>
                                        <w:sz w:val="15"/>
                                        <w:szCs w:val="15"/>
                                      </w:rPr>
                                    </w:pPr>
                                    <w:hyperlink r:id="rId6" w:history="1">
                                      <w:r>
                                        <w:rPr>
                                          <w:rStyle w:val="Collegamentoipertestuale"/>
                                          <w:rFonts w:ascii="Arial" w:hAnsi="Arial" w:cs="Arial"/>
                                          <w:sz w:val="15"/>
                                          <w:szCs w:val="15"/>
                                        </w:rPr>
                                        <w:t>Terms of Use</w:t>
                                      </w:r>
                                    </w:hyperlink>
                                    <w:r>
                                      <w:rPr>
                                        <w:rFonts w:ascii="Arial" w:hAnsi="Arial" w:cs="Arial"/>
                                        <w:b/>
                                        <w:bCs/>
                                        <w:color w:val="004084"/>
                                        <w:sz w:val="15"/>
                                        <w:szCs w:val="15"/>
                                      </w:rPr>
                                      <w:t xml:space="preserve">   •    </w:t>
                                    </w:r>
                                    <w:hyperlink r:id="rId7" w:history="1">
                                      <w:r>
                                        <w:rPr>
                                          <w:rStyle w:val="Collegamentoipertestuale"/>
                                          <w:rFonts w:ascii="Arial" w:hAnsi="Arial" w:cs="Arial"/>
                                          <w:sz w:val="15"/>
                                          <w:szCs w:val="15"/>
                                        </w:rPr>
                                        <w:t>Privacy Policy</w:t>
                                      </w:r>
                                    </w:hyperlink>
                                    <w:r>
                                      <w:rPr>
                                        <w:rFonts w:ascii="Arial" w:hAnsi="Arial" w:cs="Arial"/>
                                        <w:b/>
                                        <w:bCs/>
                                        <w:color w:val="004084"/>
                                        <w:sz w:val="15"/>
                                        <w:szCs w:val="15"/>
                                      </w:rPr>
                                      <w:t xml:space="preserve">   </w:t>
                                    </w:r>
                                  </w:p>
                                </w:tc>
                              </w:tr>
                            </w:tbl>
                            <w:p w:rsidR="00000000" w:rsidRDefault="00E5110E">
                              <w:pPr>
                                <w:rPr>
                                  <w:color w:val="4B4B4B"/>
                                </w:rPr>
                              </w:pPr>
                            </w:p>
                          </w:tc>
                        </w:tr>
                      </w:tbl>
                      <w:p w:rsidR="00000000" w:rsidRDefault="00E5110E">
                        <w:pPr>
                          <w:rPr>
                            <w:color w:val="4B4B4B"/>
                          </w:rPr>
                        </w:pPr>
                      </w:p>
                    </w:tc>
                  </w:tr>
                </w:tbl>
                <w:p w:rsidR="00000000" w:rsidRDefault="00E5110E">
                  <w:pPr>
                    <w:rPr>
                      <w:color w:val="4B4B4B"/>
                    </w:rPr>
                  </w:pPr>
                </w:p>
              </w:tc>
            </w:tr>
          </w:tbl>
          <w:p w:rsidR="00000000" w:rsidRDefault="00E5110E">
            <w:pPr>
              <w:rPr>
                <w:color w:val="4B4B4B"/>
              </w:rPr>
            </w:pPr>
          </w:p>
        </w:tc>
      </w:tr>
    </w:tbl>
    <w:p w:rsidR="00E5110E" w:rsidRDefault="00E5110E">
      <w:pPr>
        <w:rPr>
          <w:color w:val="4B4B4B"/>
          <w:lang w:val="en-US"/>
        </w:rPr>
      </w:pPr>
    </w:p>
    <w:sectPr w:rsidR="00E511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1963"/>
    <w:multiLevelType w:val="multilevel"/>
    <w:tmpl w:val="29F4E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86F08"/>
    <w:multiLevelType w:val="multilevel"/>
    <w:tmpl w:val="9B244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C82DC9"/>
    <w:multiLevelType w:val="multilevel"/>
    <w:tmpl w:val="6EECF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AB5516"/>
    <w:multiLevelType w:val="multilevel"/>
    <w:tmpl w:val="068A2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555823"/>
    <w:multiLevelType w:val="multilevel"/>
    <w:tmpl w:val="11043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AF32B0"/>
    <w:multiLevelType w:val="multilevel"/>
    <w:tmpl w:val="7AEE6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D2D34D5"/>
    <w:multiLevelType w:val="multilevel"/>
    <w:tmpl w:val="1924B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CB7ED5"/>
    <w:multiLevelType w:val="multilevel"/>
    <w:tmpl w:val="2D4AC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5F803C2"/>
    <w:multiLevelType w:val="multilevel"/>
    <w:tmpl w:val="CBAE9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526F91"/>
    <w:multiLevelType w:val="multilevel"/>
    <w:tmpl w:val="B13CD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F4D49B2"/>
    <w:multiLevelType w:val="multilevel"/>
    <w:tmpl w:val="F00CBF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078387D"/>
    <w:multiLevelType w:val="multilevel"/>
    <w:tmpl w:val="A86CA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1871B3"/>
    <w:multiLevelType w:val="multilevel"/>
    <w:tmpl w:val="70C23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C72A72"/>
    <w:multiLevelType w:val="multilevel"/>
    <w:tmpl w:val="1DBAB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0F40C84"/>
    <w:multiLevelType w:val="multilevel"/>
    <w:tmpl w:val="AB5C7E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2904B57"/>
    <w:multiLevelType w:val="multilevel"/>
    <w:tmpl w:val="F670A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39E4A84"/>
    <w:multiLevelType w:val="multilevel"/>
    <w:tmpl w:val="E27EB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382622"/>
    <w:multiLevelType w:val="multilevel"/>
    <w:tmpl w:val="5E4E4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BC5F8D"/>
    <w:multiLevelType w:val="multilevel"/>
    <w:tmpl w:val="E6F49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99E6483"/>
    <w:multiLevelType w:val="multilevel"/>
    <w:tmpl w:val="62ACE8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hyphenationZone w:val="283"/>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92F5D"/>
    <w:rsid w:val="00692F5D"/>
    <w:rsid w:val="00E51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99F7B-8609-5745-A8AA-658B16CB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qFormat/>
    <w:pPr>
      <w:spacing w:before="100" w:beforeAutospacing="1" w:after="100" w:afterAutospacing="1"/>
      <w:outlineLvl w:val="0"/>
    </w:pPr>
    <w:rPr>
      <w:rFonts w:eastAsiaTheme="minorEastAsia"/>
      <w:b/>
      <w:bCs/>
      <w:kern w:val="36"/>
      <w:sz w:val="48"/>
      <w:szCs w:val="48"/>
    </w:rPr>
  </w:style>
  <w:style w:type="paragraph" w:styleId="Titolo2">
    <w:name w:val="heading 2"/>
    <w:basedOn w:val="Normale"/>
    <w:link w:val="Titolo2Carattere"/>
    <w:qFormat/>
    <w:pPr>
      <w:spacing w:before="100" w:beforeAutospacing="1" w:after="100" w:afterAutospacing="1"/>
      <w:outlineLvl w:val="1"/>
    </w:pPr>
    <w:rPr>
      <w:rFonts w:eastAsiaTheme="minorEastAsia"/>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Pr>
      <w:b/>
      <w:bCs/>
      <w:strike w:val="0"/>
      <w:dstrike w:val="0"/>
      <w:color w:val="00AB4E"/>
      <w:u w:val="none"/>
      <w:effect w:val="none"/>
    </w:rPr>
  </w:style>
  <w:style w:type="character" w:styleId="Collegamentovisitato">
    <w:name w:val="FollowedHyperlink"/>
    <w:basedOn w:val="Carpredefinitoparagrafo"/>
    <w:semiHidden/>
    <w:unhideWhenUsed/>
    <w:rPr>
      <w:b/>
      <w:bCs/>
      <w:strike w:val="0"/>
      <w:dstrike w:val="0"/>
      <w:color w:val="00AB4E"/>
      <w:u w:val="none"/>
      <w:effect w:val="none"/>
    </w:rPr>
  </w:style>
  <w:style w:type="character" w:customStyle="1" w:styleId="Titolo1Carattere">
    <w:name w:val="Titolo 1 Carattere"/>
    <w:basedOn w:val="Carpredefinitoparagrafo"/>
    <w:link w:val="Titolo1"/>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e"/>
    <w:pPr>
      <w:spacing w:before="100" w:beforeAutospacing="1" w:after="100" w:afterAutospacing="1"/>
    </w:pPr>
  </w:style>
  <w:style w:type="paragraph" w:styleId="NormaleWeb">
    <w:name w:val="Normal (Web)"/>
    <w:basedOn w:val="Normale"/>
    <w:semiHidden/>
    <w:unhideWhenUsed/>
    <w:pPr>
      <w:spacing w:before="100" w:beforeAutospacing="1" w:after="100" w:afterAutospacing="1"/>
    </w:pPr>
  </w:style>
  <w:style w:type="paragraph" w:customStyle="1" w:styleId="toolbartext">
    <w:name w:val="toolbartext"/>
    <w:basedOn w:val="Normale"/>
    <w:pPr>
      <w:spacing w:before="100" w:beforeAutospacing="1" w:after="100" w:afterAutospacing="1"/>
    </w:pPr>
    <w:rPr>
      <w:sz w:val="15"/>
      <w:szCs w:val="15"/>
    </w:rPr>
  </w:style>
  <w:style w:type="paragraph" w:customStyle="1" w:styleId="toolbartextred">
    <w:name w:val="toolbartextred"/>
    <w:basedOn w:val="Normale"/>
    <w:pPr>
      <w:spacing w:before="100" w:beforeAutospacing="1" w:after="100" w:afterAutospacing="1"/>
    </w:pPr>
    <w:rPr>
      <w:sz w:val="15"/>
      <w:szCs w:val="15"/>
    </w:rPr>
  </w:style>
  <w:style w:type="paragraph" w:customStyle="1" w:styleId="pagetitletext">
    <w:name w:val="pagetitletext"/>
    <w:basedOn w:val="Normale"/>
    <w:pPr>
      <w:spacing w:before="100" w:beforeAutospacing="1" w:after="100" w:afterAutospacing="1"/>
    </w:pPr>
  </w:style>
  <w:style w:type="paragraph" w:customStyle="1" w:styleId="titlebartext">
    <w:name w:val="titlebartext"/>
    <w:basedOn w:val="Normale"/>
    <w:pPr>
      <w:spacing w:before="100" w:beforeAutospacing="1" w:after="100" w:afterAutospacing="1"/>
    </w:pPr>
    <w:rPr>
      <w:sz w:val="18"/>
      <w:szCs w:val="18"/>
    </w:rPr>
  </w:style>
  <w:style w:type="paragraph" w:customStyle="1" w:styleId="contentcontroltext">
    <w:name w:val="contentcontroltext"/>
    <w:basedOn w:val="Normale"/>
    <w:pPr>
      <w:spacing w:before="100" w:beforeAutospacing="1" w:after="100" w:afterAutospacing="1"/>
    </w:pPr>
    <w:rPr>
      <w:sz w:val="15"/>
      <w:szCs w:val="15"/>
    </w:rPr>
  </w:style>
  <w:style w:type="paragraph" w:customStyle="1" w:styleId="contentcontrollinktext">
    <w:name w:val="contentcontrollinktext"/>
    <w:basedOn w:val="Normale"/>
    <w:pPr>
      <w:spacing w:before="100" w:beforeAutospacing="1" w:after="100" w:afterAutospacing="1"/>
    </w:pPr>
    <w:rPr>
      <w:sz w:val="15"/>
      <w:szCs w:val="15"/>
    </w:rPr>
  </w:style>
  <w:style w:type="paragraph" w:customStyle="1" w:styleId="eyebrowmedium">
    <w:name w:val="eyebrowmedium"/>
    <w:basedOn w:val="Normale"/>
    <w:pPr>
      <w:spacing w:before="100" w:beforeAutospacing="1" w:after="100" w:afterAutospacing="1"/>
    </w:pPr>
    <w:rPr>
      <w:sz w:val="15"/>
      <w:szCs w:val="15"/>
    </w:rPr>
  </w:style>
  <w:style w:type="paragraph" w:customStyle="1" w:styleId="documenttitlemedium">
    <w:name w:val="documenttitlemedium"/>
    <w:basedOn w:val="Normale"/>
    <w:pPr>
      <w:spacing w:before="100" w:beforeAutospacing="1" w:after="100" w:afterAutospacing="1"/>
    </w:pPr>
    <w:rPr>
      <w:b/>
      <w:bCs/>
      <w:sz w:val="20"/>
      <w:szCs w:val="20"/>
    </w:rPr>
  </w:style>
  <w:style w:type="paragraph" w:customStyle="1" w:styleId="datemedium">
    <w:name w:val="datemedium"/>
    <w:basedOn w:val="Normale"/>
    <w:pPr>
      <w:spacing w:before="100" w:beforeAutospacing="1" w:after="100" w:afterAutospacing="1"/>
    </w:pPr>
    <w:rPr>
      <w:sz w:val="15"/>
      <w:szCs w:val="15"/>
    </w:rPr>
  </w:style>
  <w:style w:type="paragraph" w:customStyle="1" w:styleId="bodycopymedium">
    <w:name w:val="bodycopymedium"/>
    <w:basedOn w:val="Normale"/>
    <w:pPr>
      <w:spacing w:before="100" w:beforeAutospacing="1" w:after="100" w:afterAutospacing="1"/>
    </w:pPr>
    <w:rPr>
      <w:sz w:val="17"/>
      <w:szCs w:val="17"/>
    </w:rPr>
  </w:style>
  <w:style w:type="paragraph" w:customStyle="1" w:styleId="eyebrowsmall">
    <w:name w:val="eyebrowsmall"/>
    <w:basedOn w:val="Normale"/>
    <w:pPr>
      <w:spacing w:before="100" w:beforeAutospacing="1" w:after="100" w:afterAutospacing="1"/>
    </w:pPr>
    <w:rPr>
      <w:sz w:val="14"/>
      <w:szCs w:val="14"/>
    </w:rPr>
  </w:style>
  <w:style w:type="paragraph" w:customStyle="1" w:styleId="documenttitlesmall">
    <w:name w:val="documenttitlesmall"/>
    <w:basedOn w:val="Normale"/>
    <w:pPr>
      <w:spacing w:before="100" w:beforeAutospacing="1" w:after="100" w:afterAutospacing="1"/>
    </w:pPr>
    <w:rPr>
      <w:sz w:val="17"/>
      <w:szCs w:val="17"/>
    </w:rPr>
  </w:style>
  <w:style w:type="paragraph" w:customStyle="1" w:styleId="datesmall">
    <w:name w:val="datesmall"/>
    <w:basedOn w:val="Normale"/>
    <w:pPr>
      <w:spacing w:before="100" w:beforeAutospacing="1" w:after="100" w:afterAutospacing="1"/>
    </w:pPr>
    <w:rPr>
      <w:sz w:val="15"/>
      <w:szCs w:val="15"/>
    </w:rPr>
  </w:style>
  <w:style w:type="paragraph" w:customStyle="1" w:styleId="bodycopysmall">
    <w:name w:val="bodycopysmall"/>
    <w:basedOn w:val="Normale"/>
    <w:pPr>
      <w:spacing w:before="100" w:beforeAutospacing="1" w:after="100" w:afterAutospacing="1"/>
    </w:pPr>
    <w:rPr>
      <w:sz w:val="15"/>
      <w:szCs w:val="15"/>
    </w:rPr>
  </w:style>
  <w:style w:type="paragraph" w:customStyle="1" w:styleId="documenttitlelarge">
    <w:name w:val="documenttitlelarge"/>
    <w:basedOn w:val="Normale"/>
    <w:pPr>
      <w:spacing w:before="100" w:beforeAutospacing="1" w:after="100" w:afterAutospacing="1"/>
    </w:pPr>
    <w:rPr>
      <w:sz w:val="23"/>
      <w:szCs w:val="23"/>
    </w:rPr>
  </w:style>
  <w:style w:type="paragraph" w:customStyle="1" w:styleId="datelarge">
    <w:name w:val="datelarge"/>
    <w:basedOn w:val="Normale"/>
    <w:pPr>
      <w:spacing w:before="100" w:beforeAutospacing="1" w:after="100" w:afterAutospacing="1"/>
    </w:pPr>
    <w:rPr>
      <w:sz w:val="17"/>
      <w:szCs w:val="17"/>
    </w:rPr>
  </w:style>
  <w:style w:type="paragraph" w:customStyle="1" w:styleId="bodycopylarge">
    <w:name w:val="bodycopylarge"/>
    <w:basedOn w:val="Normale"/>
    <w:pPr>
      <w:spacing w:before="100" w:beforeAutospacing="1" w:after="100" w:afterAutospacing="1"/>
    </w:pPr>
    <w:rPr>
      <w:sz w:val="18"/>
      <w:szCs w:val="18"/>
    </w:rPr>
  </w:style>
  <w:style w:type="paragraph" w:customStyle="1" w:styleId="bodyheading1">
    <w:name w:val="bodyheading1"/>
    <w:basedOn w:val="Normale"/>
    <w:pPr>
      <w:spacing w:before="100" w:beforeAutospacing="1" w:after="100" w:afterAutospacing="1"/>
    </w:pPr>
    <w:rPr>
      <w:sz w:val="21"/>
      <w:szCs w:val="21"/>
    </w:rPr>
  </w:style>
  <w:style w:type="paragraph" w:customStyle="1" w:styleId="bodyheading2">
    <w:name w:val="bodyheading2"/>
    <w:basedOn w:val="Normale"/>
    <w:pPr>
      <w:spacing w:before="100" w:beforeAutospacing="1" w:after="195"/>
    </w:pPr>
    <w:rPr>
      <w:b/>
      <w:bCs/>
      <w:sz w:val="20"/>
      <w:szCs w:val="20"/>
    </w:rPr>
  </w:style>
  <w:style w:type="paragraph" w:customStyle="1" w:styleId="bodyheading3">
    <w:name w:val="bodyheading3"/>
    <w:basedOn w:val="Normale"/>
    <w:pPr>
      <w:spacing w:before="100" w:beforeAutospacing="1" w:after="195"/>
    </w:pPr>
    <w:rPr>
      <w:b/>
      <w:bCs/>
      <w:i/>
      <w:iCs/>
      <w:sz w:val="20"/>
      <w:szCs w:val="20"/>
    </w:rPr>
  </w:style>
  <w:style w:type="paragraph" w:customStyle="1" w:styleId="bodyheading4">
    <w:name w:val="bodyheading4"/>
    <w:basedOn w:val="Normale"/>
    <w:pPr>
      <w:spacing w:before="100" w:beforeAutospacing="1" w:after="195"/>
    </w:pPr>
    <w:rPr>
      <w:i/>
      <w:iCs/>
      <w:sz w:val="20"/>
      <w:szCs w:val="20"/>
    </w:rPr>
  </w:style>
  <w:style w:type="paragraph" w:customStyle="1" w:styleId="copyrighttext">
    <w:name w:val="copyrighttext"/>
    <w:basedOn w:val="Normale"/>
    <w:pPr>
      <w:spacing w:before="100" w:beforeAutospacing="1" w:after="100" w:afterAutospacing="1"/>
    </w:pPr>
    <w:rPr>
      <w:sz w:val="15"/>
      <w:szCs w:val="15"/>
    </w:rPr>
  </w:style>
  <w:style w:type="paragraph" w:customStyle="1" w:styleId="calendarmonthtext">
    <w:name w:val="calendarmonthtext"/>
    <w:basedOn w:val="Normale"/>
    <w:pPr>
      <w:spacing w:before="100" w:beforeAutospacing="1" w:after="100" w:afterAutospacing="1"/>
    </w:pPr>
    <w:rPr>
      <w:sz w:val="14"/>
      <w:szCs w:val="14"/>
    </w:rPr>
  </w:style>
  <w:style w:type="paragraph" w:customStyle="1" w:styleId="alerttext">
    <w:name w:val="alerttext"/>
    <w:basedOn w:val="Normale"/>
    <w:pPr>
      <w:spacing w:before="100" w:beforeAutospacing="1" w:after="100" w:afterAutospacing="1"/>
    </w:pPr>
    <w:rPr>
      <w:sz w:val="17"/>
      <w:szCs w:val="17"/>
    </w:rPr>
  </w:style>
  <w:style w:type="paragraph" w:customStyle="1" w:styleId="softredheading">
    <w:name w:val="softredheading"/>
    <w:basedOn w:val="Normale"/>
    <w:pPr>
      <w:spacing w:before="100" w:beforeAutospacing="1" w:after="100" w:afterAutospacing="1"/>
    </w:pPr>
    <w:rPr>
      <w:sz w:val="15"/>
      <w:szCs w:val="15"/>
    </w:rPr>
  </w:style>
  <w:style w:type="paragraph" w:customStyle="1" w:styleId="softblackheading">
    <w:name w:val="softblackheading"/>
    <w:basedOn w:val="Normale"/>
    <w:pPr>
      <w:spacing w:before="100" w:beforeAutospacing="1" w:after="100" w:afterAutospacing="1"/>
    </w:pPr>
    <w:rPr>
      <w:sz w:val="15"/>
      <w:szCs w:val="15"/>
    </w:rPr>
  </w:style>
  <w:style w:type="paragraph" w:customStyle="1" w:styleId="categoryparentlink">
    <w:name w:val="categoryparentlink"/>
    <w:basedOn w:val="Normale"/>
    <w:pPr>
      <w:spacing w:before="100" w:beforeAutospacing="1" w:after="100" w:afterAutospacing="1"/>
    </w:pPr>
    <w:rPr>
      <w:sz w:val="18"/>
      <w:szCs w:val="18"/>
    </w:rPr>
  </w:style>
  <w:style w:type="paragraph" w:customStyle="1" w:styleId="categoryparentselectedlink">
    <w:name w:val="categoryparentselectedlink"/>
    <w:basedOn w:val="Normale"/>
    <w:pPr>
      <w:spacing w:before="100" w:beforeAutospacing="1" w:after="100" w:afterAutospacing="1"/>
    </w:pPr>
    <w:rPr>
      <w:sz w:val="18"/>
      <w:szCs w:val="18"/>
    </w:rPr>
  </w:style>
  <w:style w:type="paragraph" w:customStyle="1" w:styleId="categorychildlink">
    <w:name w:val="categorychildlink"/>
    <w:basedOn w:val="Normale"/>
    <w:pPr>
      <w:spacing w:before="100" w:beforeAutospacing="1" w:after="100" w:afterAutospacing="1"/>
    </w:pPr>
    <w:rPr>
      <w:sz w:val="17"/>
      <w:szCs w:val="17"/>
    </w:rPr>
  </w:style>
  <w:style w:type="paragraph" w:customStyle="1" w:styleId="tabletitle">
    <w:name w:val="tabletitle"/>
    <w:basedOn w:val="Normale"/>
    <w:pPr>
      <w:spacing w:before="100" w:beforeAutospacing="1" w:after="100" w:afterAutospacing="1"/>
    </w:pPr>
    <w:rPr>
      <w:sz w:val="15"/>
      <w:szCs w:val="15"/>
    </w:rPr>
  </w:style>
  <w:style w:type="paragraph" w:customStyle="1" w:styleId="tabletitlebold">
    <w:name w:val="tabletitlebold"/>
    <w:basedOn w:val="Normale"/>
    <w:pPr>
      <w:spacing w:before="100" w:beforeAutospacing="1" w:after="100" w:afterAutospacing="1"/>
    </w:pPr>
    <w:rPr>
      <w:sz w:val="15"/>
      <w:szCs w:val="15"/>
    </w:rPr>
  </w:style>
  <w:style w:type="paragraph" w:customStyle="1" w:styleId="tablecontent">
    <w:name w:val="tablecontent"/>
    <w:basedOn w:val="Normale"/>
    <w:pPr>
      <w:spacing w:before="100" w:beforeAutospacing="1" w:after="100" w:afterAutospacing="1"/>
    </w:pPr>
    <w:rPr>
      <w:sz w:val="15"/>
      <w:szCs w:val="15"/>
    </w:rPr>
  </w:style>
  <w:style w:type="paragraph" w:customStyle="1" w:styleId="tablecontentsmall">
    <w:name w:val="tablecontentsmall"/>
    <w:basedOn w:val="Normale"/>
    <w:pPr>
      <w:spacing w:before="100" w:beforeAutospacing="1" w:after="100" w:afterAutospacing="1"/>
    </w:pPr>
    <w:rPr>
      <w:sz w:val="14"/>
      <w:szCs w:val="14"/>
    </w:rPr>
  </w:style>
  <w:style w:type="paragraph" w:customStyle="1" w:styleId="tableheading">
    <w:name w:val="tableheading"/>
    <w:basedOn w:val="Normale"/>
    <w:pPr>
      <w:spacing w:before="100" w:beforeAutospacing="1" w:after="100" w:afterAutospacing="1"/>
    </w:pPr>
    <w:rPr>
      <w:sz w:val="15"/>
      <w:szCs w:val="15"/>
    </w:rPr>
  </w:style>
  <w:style w:type="paragraph" w:customStyle="1" w:styleId="tableheadingsmall">
    <w:name w:val="tableheadingsmall"/>
    <w:basedOn w:val="Normale"/>
    <w:pPr>
      <w:spacing w:before="100" w:beforeAutospacing="1" w:after="100" w:afterAutospacing="1"/>
    </w:pPr>
    <w:rPr>
      <w:sz w:val="14"/>
      <w:szCs w:val="14"/>
    </w:rPr>
  </w:style>
  <w:style w:type="paragraph" w:customStyle="1" w:styleId="tablecontentclear">
    <w:name w:val="tablecontentclear"/>
    <w:basedOn w:val="Normale"/>
    <w:pPr>
      <w:spacing w:before="100" w:beforeAutospacing="1" w:after="100" w:afterAutospacing="1"/>
    </w:pPr>
    <w:rPr>
      <w:sz w:val="15"/>
      <w:szCs w:val="15"/>
    </w:rPr>
  </w:style>
  <w:style w:type="paragraph" w:customStyle="1" w:styleId="tablenotes">
    <w:name w:val="tablenotes"/>
    <w:basedOn w:val="Normale"/>
    <w:pPr>
      <w:spacing w:before="100" w:beforeAutospacing="1" w:after="100" w:afterAutospacing="1"/>
    </w:pPr>
    <w:rPr>
      <w:sz w:val="14"/>
      <w:szCs w:val="14"/>
    </w:rPr>
  </w:style>
  <w:style w:type="paragraph" w:customStyle="1" w:styleId="risktablecontent">
    <w:name w:val="risktablecontent"/>
    <w:basedOn w:val="Normale"/>
    <w:pPr>
      <w:spacing w:before="100" w:beforeAutospacing="1" w:after="100" w:afterAutospacing="1"/>
    </w:pPr>
    <w:rPr>
      <w:sz w:val="15"/>
      <w:szCs w:val="15"/>
    </w:rPr>
  </w:style>
  <w:style w:type="paragraph" w:customStyle="1" w:styleId="risktablecontentredbold">
    <w:name w:val="risktablecontentredbold"/>
    <w:basedOn w:val="Normale"/>
    <w:pPr>
      <w:spacing w:before="100" w:beforeAutospacing="1" w:after="100" w:afterAutospacing="1"/>
    </w:pPr>
    <w:rPr>
      <w:sz w:val="15"/>
      <w:szCs w:val="15"/>
    </w:rPr>
  </w:style>
  <w:style w:type="paragraph" w:customStyle="1" w:styleId="risktableheading">
    <w:name w:val="risktableheading"/>
    <w:basedOn w:val="Normale"/>
    <w:pPr>
      <w:spacing w:before="100" w:beforeAutospacing="1" w:after="100" w:afterAutospacing="1"/>
    </w:pPr>
    <w:rPr>
      <w:sz w:val="15"/>
      <w:szCs w:val="15"/>
    </w:rPr>
  </w:style>
  <w:style w:type="paragraph" w:customStyle="1" w:styleId="risktableheadingvertical">
    <w:name w:val="risktableheadingvertical"/>
    <w:basedOn w:val="Normale"/>
    <w:pPr>
      <w:spacing w:before="100" w:beforeAutospacing="1" w:after="100" w:afterAutospacing="1"/>
    </w:pPr>
    <w:rPr>
      <w:sz w:val="15"/>
      <w:szCs w:val="15"/>
    </w:rPr>
  </w:style>
  <w:style w:type="paragraph" w:customStyle="1" w:styleId="navitem">
    <w:name w:val="navitem"/>
    <w:basedOn w:val="Normale"/>
    <w:pPr>
      <w:spacing w:before="100" w:beforeAutospacing="1" w:after="100" w:afterAutospacing="1"/>
    </w:pPr>
    <w:rPr>
      <w:sz w:val="17"/>
      <w:szCs w:val="17"/>
    </w:rPr>
  </w:style>
  <w:style w:type="paragraph" w:customStyle="1" w:styleId="navitemselected">
    <w:name w:val="navitemselected"/>
    <w:basedOn w:val="Normale"/>
    <w:pPr>
      <w:spacing w:before="100" w:beforeAutospacing="1" w:after="100" w:afterAutospacing="1"/>
    </w:pPr>
    <w:rPr>
      <w:sz w:val="17"/>
      <w:szCs w:val="17"/>
    </w:rPr>
  </w:style>
  <w:style w:type="paragraph" w:customStyle="1" w:styleId="treedefault">
    <w:name w:val="treedefault"/>
    <w:basedOn w:val="Normale"/>
    <w:pPr>
      <w:spacing w:before="100" w:beforeAutospacing="1" w:after="100" w:afterAutospacing="1"/>
    </w:pPr>
    <w:rPr>
      <w:sz w:val="15"/>
      <w:szCs w:val="15"/>
    </w:rPr>
  </w:style>
  <w:style w:type="paragraph" w:customStyle="1" w:styleId="treeselected">
    <w:name w:val="treeselected"/>
    <w:basedOn w:val="Normale"/>
    <w:pPr>
      <w:spacing w:before="100" w:beforeAutospacing="1" w:after="100" w:afterAutospacing="1"/>
    </w:pPr>
    <w:rPr>
      <w:sz w:val="15"/>
      <w:szCs w:val="15"/>
    </w:rPr>
  </w:style>
  <w:style w:type="paragraph" w:customStyle="1" w:styleId="treecontrols">
    <w:name w:val="treecontrols"/>
    <w:basedOn w:val="Normale"/>
    <w:pPr>
      <w:spacing w:before="100" w:beforeAutospacing="1" w:after="100" w:afterAutospacing="1"/>
    </w:pPr>
    <w:rPr>
      <w:sz w:val="15"/>
      <w:szCs w:val="15"/>
    </w:rPr>
  </w:style>
  <w:style w:type="paragraph" w:customStyle="1" w:styleId="content">
    <w:name w:val="content"/>
    <w:basedOn w:val="Normale"/>
    <w:pPr>
      <w:spacing w:before="100" w:beforeAutospacing="1" w:after="100" w:afterAutospacing="1"/>
    </w:pPr>
    <w:rPr>
      <w:sz w:val="18"/>
      <w:szCs w:val="18"/>
    </w:rPr>
  </w:style>
  <w:style w:type="paragraph" w:customStyle="1" w:styleId="gridhalf">
    <w:name w:val="gridhalf"/>
    <w:basedOn w:val="Normale"/>
    <w:pPr>
      <w:spacing w:before="100" w:beforeAutospacing="1" w:after="100" w:afterAutospacing="1"/>
    </w:pPr>
    <w:rPr>
      <w:rFonts w:eastAsiaTheme="minorEastAsia"/>
    </w:rPr>
  </w:style>
  <w:style w:type="paragraph" w:customStyle="1" w:styleId="contentseparator">
    <w:name w:val="contentseparator"/>
    <w:basedOn w:val="Normale"/>
    <w:pPr>
      <w:spacing w:before="100" w:beforeAutospacing="1" w:after="100" w:afterAutospacing="1"/>
    </w:pPr>
    <w:rPr>
      <w:rFonts w:eastAsiaTheme="minorEastAsia"/>
    </w:rPr>
  </w:style>
  <w:style w:type="paragraph" w:customStyle="1" w:styleId="brandbutton">
    <w:name w:val="brandbutton"/>
    <w:basedOn w:val="Normale"/>
    <w:pPr>
      <w:shd w:val="clear" w:color="auto" w:fill="EDEFEF"/>
      <w:spacing w:before="100" w:beforeAutospacing="1" w:after="600"/>
    </w:pPr>
    <w:rPr>
      <w:rFonts w:eastAsiaTheme="minorEastAsia"/>
      <w:color w:val="00AB4E"/>
      <w:sz w:val="30"/>
      <w:szCs w:val="30"/>
    </w:rPr>
  </w:style>
  <w:style w:type="paragraph" w:customStyle="1" w:styleId="logo">
    <w:name w:val="logo"/>
    <w:basedOn w:val="Normale"/>
    <w:pPr>
      <w:spacing w:before="100" w:beforeAutospacing="1" w:after="100" w:afterAutospacing="1"/>
    </w:pPr>
    <w:rPr>
      <w:rFonts w:eastAsiaTheme="minorEastAsia"/>
    </w:rPr>
  </w:style>
  <w:style w:type="character" w:customStyle="1" w:styleId="titlebartext1">
    <w:name w:val="titlebartext1"/>
    <w:basedOn w:val="Carpredefinitoparagrafo"/>
    <w:rPr>
      <w:rFonts w:ascii="Arial" w:hAnsi="Arial" w:cs="Arial" w:hint="default"/>
      <w:b/>
      <w:bCs/>
      <w:color w:val="000000"/>
      <w:sz w:val="18"/>
      <w:szCs w:val="18"/>
    </w:rPr>
  </w:style>
  <w:style w:type="character" w:customStyle="1" w:styleId="documenttitlelarge1">
    <w:name w:val="documenttitlelarge1"/>
    <w:basedOn w:val="Carpredefinitoparagrafo"/>
    <w:rPr>
      <w:rFonts w:ascii="Arial" w:hAnsi="Arial" w:cs="Arial" w:hint="default"/>
      <w:b/>
      <w:bCs/>
      <w:strike w:val="0"/>
      <w:dstrike w:val="0"/>
      <w:color w:val="333333"/>
      <w:sz w:val="23"/>
      <w:szCs w:val="23"/>
      <w:u w:val="none"/>
      <w:effect w:val="none"/>
    </w:rPr>
  </w:style>
  <w:style w:type="character" w:customStyle="1" w:styleId="tablecontent1">
    <w:name w:val="tablecontent1"/>
    <w:basedOn w:val="Carpredefinitoparagrafo"/>
    <w:rPr>
      <w:rFonts w:ascii="Verdana" w:hAnsi="Verdana" w:hint="default"/>
      <w:b w:val="0"/>
      <w:bCs w:val="0"/>
      <w:strike w:val="0"/>
      <w:dstrike w:val="0"/>
      <w:color w:val="000000"/>
      <w:sz w:val="15"/>
      <w:szCs w:val="15"/>
      <w:u w:val="none"/>
      <w:effect w:val="none"/>
      <w:shd w:val="clear" w:color="auto" w:fill="E2E4E9"/>
    </w:rPr>
  </w:style>
  <w:style w:type="table" w:customStyle="1" w:styleId="TableNormal">
    <w:name w:val="Table Normal"/>
    <w:semiHidden/>
    <w:tblPr>
      <w:tblCellMar>
        <w:top w:w="0" w:type="dxa"/>
        <w:left w:w="108" w:type="dxa"/>
        <w:bottom w:w="0" w:type="dxa"/>
        <w:right w:w="108" w:type="dxa"/>
      </w:tblCellMar>
    </w:tblPr>
  </w:style>
  <w:style w:type="paragraph" w:customStyle="1" w:styleId="logo1">
    <w:name w:val="logo1"/>
    <w:basedOn w:val="Normal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0549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insight.com/Legal/PrivacyPolic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insight.com/Legal/Terms.htm" TargetMode="External"/><Relationship Id="rId5" Type="http://schemas.openxmlformats.org/officeDocument/2006/relationships/image" Target="http://myinsight.globalinsight.com/imgs/pageheader/mast_logo.g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1823</Words>
  <Characters>10397</Characters>
  <Application>Microsoft Office Word</Application>
  <DocSecurity>0</DocSecurity>
  <Lines>86</Lines>
  <Paragraphs>24</Paragraphs>
  <ScaleCrop>false</ScaleCrop>
  <Company>Global Insight, Inc.</Company>
  <LinksUpToDate>false</LinksUpToDate>
  <CharactersWithSpaces>12196</CharactersWithSpaces>
  <SharedDoc>false</SharedDoc>
  <HyperlinkBase>http://myinsight.globalinsight.com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Insight // Economic Forecasts, Industry Analysis, Financial Data and Consulting</dc:title>
  <dc:subject/>
  <dc:creator>Global Insight Inc.</dc:creator>
  <cp:keywords/>
  <dc:description/>
  <cp:lastModifiedBy>Microsoft Office User</cp:lastModifiedBy>
  <cp:revision>2</cp:revision>
  <dcterms:created xsi:type="dcterms:W3CDTF">2021-03-03T15:49:00Z</dcterms:created>
  <dcterms:modified xsi:type="dcterms:W3CDTF">2021-03-03T15:49:00Z</dcterms:modified>
</cp:coreProperties>
</file>