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97719" w14:textId="6DA7D2F5" w:rsidR="00263149" w:rsidRPr="00261248" w:rsidRDefault="006A47D5" w:rsidP="0060340D">
      <w:pPr>
        <w:ind w:left="-720"/>
        <w:rPr>
          <w:rFonts w:ascii="Avenir Next LT Pro" w:hAnsi="Avenir Next LT Pro"/>
        </w:rPr>
      </w:pPr>
      <w:r w:rsidRPr="00261248">
        <w:rPr>
          <w:rFonts w:ascii="Avenir Next LT Pro" w:hAnsi="Avenir Next LT Pro"/>
          <w:noProof/>
        </w:rPr>
        <mc:AlternateContent>
          <mc:Choice Requires="wps">
            <w:drawing>
              <wp:anchor distT="0" distB="0" distL="114300" distR="114300" simplePos="0" relativeHeight="251645440" behindDoc="0" locked="0" layoutInCell="1" allowOverlap="1" wp14:anchorId="6BBE7AC7" wp14:editId="5A54F2BE">
                <wp:simplePos x="0" y="0"/>
                <wp:positionH relativeFrom="column">
                  <wp:posOffset>-135890</wp:posOffset>
                </wp:positionH>
                <wp:positionV relativeFrom="paragraph">
                  <wp:posOffset>193040</wp:posOffset>
                </wp:positionV>
                <wp:extent cx="5829300" cy="1028700"/>
                <wp:effectExtent l="0" t="2540" r="2540" b="0"/>
                <wp:wrapTight wrapText="bothSides">
                  <wp:wrapPolygon edited="0">
                    <wp:start x="0" y="0"/>
                    <wp:lineTo x="21600" y="0"/>
                    <wp:lineTo x="21600" y="21600"/>
                    <wp:lineTo x="0" y="21600"/>
                    <wp:lineTo x="0" y="0"/>
                  </wp:wrapPolygon>
                </wp:wrapTight>
                <wp:docPr id="2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349B" w14:textId="5B8AF114" w:rsidR="00AD7435" w:rsidRPr="00720875" w:rsidRDefault="00720875" w:rsidP="00720875">
                            <w:pPr>
                              <w:spacing w:line="264" w:lineRule="auto"/>
                              <w:jc w:val="center"/>
                              <w:rPr>
                                <w:b/>
                                <w:color w:val="FFFFFF" w:themeColor="background1"/>
                                <w:sz w:val="48"/>
                                <w:szCs w:val="48"/>
                              </w:rPr>
                            </w:pPr>
                            <w:r w:rsidRPr="00720875">
                              <w:rPr>
                                <w:rFonts w:ascii="Avenir Heavy" w:hAnsi="Avenir Heavy"/>
                                <w:b/>
                                <w:caps/>
                                <w:color w:val="FFFFFF" w:themeColor="background1"/>
                                <w:spacing w:val="60"/>
                                <w:sz w:val="40"/>
                                <w:szCs w:val="48"/>
                              </w:rPr>
                              <w:t>Understanding the Inflation Reduction Act</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BE7AC7" id="_x0000_t202" coordsize="21600,21600" o:spt="202" path="m,l,21600r21600,l21600,xe">
                <v:stroke joinstyle="miter"/>
                <v:path gradientshapeok="t" o:connecttype="rect"/>
              </v:shapetype>
              <v:shape id="Text Box 6" o:spid="_x0000_s1026" type="#_x0000_t202" style="position:absolute;left:0;text-align:left;margin-left:-10.7pt;margin-top:15.2pt;width:459pt;height:81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" filled="f" stroked="f">
                <v:textbox inset=",7.2pt,,7.2pt">
                  <w:txbxContent>
                    <w:p w14:paraId="78A3349B" w14:textId="5B8AF114" w:rsidR="00AD7435" w:rsidRPr="00720875" w:rsidRDefault="00720875" w:rsidP="00720875">
                      <w:pPr>
                        <w:spacing w:line="264" w:lineRule="auto"/>
                        <w:jc w:val="center"/>
                        <w:rPr>
                          <w:b/>
                          <w:color w:val="FFFFFF" w:themeColor="background1"/>
                          <w:sz w:val="48"/>
                          <w:szCs w:val="48"/>
                        </w:rPr>
                      </w:pPr>
                      <w:r w:rsidRPr="00720875">
                        <w:rPr>
                          <w:rFonts w:ascii="Avenir Heavy" w:hAnsi="Avenir Heavy"/>
                          <w:b/>
                          <w:caps/>
                          <w:color w:val="FFFFFF" w:themeColor="background1"/>
                          <w:spacing w:val="60"/>
                          <w:sz w:val="40"/>
                          <w:szCs w:val="48"/>
                        </w:rPr>
                        <w:t>Understanding the Inflation Reduction Act</w:t>
                      </w:r>
                    </w:p>
                  </w:txbxContent>
                </v:textbox>
                <w10:wrap type="tight"/>
              </v:shape>
            </w:pict>
          </mc:Fallback>
        </mc:AlternateContent>
      </w:r>
      <w:r w:rsidR="0058257C" w:rsidRPr="00261248">
        <w:rPr>
          <w:rFonts w:ascii="Avenir Next LT Pro" w:hAnsi="Avenir Next LT Pro"/>
          <w:noProof/>
        </w:rPr>
        <w:drawing>
          <wp:anchor distT="0" distB="0" distL="114300" distR="114300" simplePos="0" relativeHeight="251648512" behindDoc="0" locked="0" layoutInCell="1" allowOverlap="1" wp14:anchorId="12C7B5E8" wp14:editId="07F1590A">
            <wp:simplePos x="0" y="0"/>
            <wp:positionH relativeFrom="column">
              <wp:posOffset>2398395</wp:posOffset>
            </wp:positionH>
            <wp:positionV relativeFrom="paragraph">
              <wp:posOffset>-567267</wp:posOffset>
            </wp:positionV>
            <wp:extent cx="624840" cy="584200"/>
            <wp:effectExtent l="0" t="0" r="3810" b="6350"/>
            <wp:wrapNone/>
            <wp:docPr id="31" name="Picture 29" descr="BL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LS.blue.jpg"/>
                    <pic:cNvPicPr>
                      <a:picLocks noChangeAspect="1" noChangeArrowheads="1"/>
                    </pic:cNvPicPr>
                  </pic:nvPicPr>
                  <pic:blipFill>
                    <a:blip r:embed="rId7">
                      <a:extLst>
                        <a:ext uri="{BEBA8EAE-BF5A-486C-A8C5-ECC9F3942E4B}">
                          <a14:imgProps xmlns:a14="http://schemas.microsoft.com/office/drawing/2010/main">
                            <a14:imgLayer r:embed="rId8">
                              <a14:imgEffect>
                                <a14:saturation sat="66000"/>
                              </a14:imgEffect>
                            </a14:imgLayer>
                          </a14:imgProps>
                        </a:ext>
                      </a:extLst>
                    </a:blip>
                    <a:srcRect/>
                    <a:stretch>
                      <a:fillRect/>
                    </a:stretch>
                  </pic:blipFill>
                  <pic:spPr bwMode="auto">
                    <a:xfrm>
                      <a:off x="0" y="0"/>
                      <a:ext cx="624840" cy="584200"/>
                    </a:xfrm>
                    <a:prstGeom prst="rect">
                      <a:avLst/>
                    </a:prstGeom>
                    <a:noFill/>
                    <a:ln w="9525">
                      <a:noFill/>
                      <a:miter lim="800000"/>
                      <a:headEnd/>
                      <a:tailEnd/>
                    </a:ln>
                  </pic:spPr>
                </pic:pic>
              </a:graphicData>
            </a:graphic>
          </wp:anchor>
        </w:drawing>
      </w:r>
      <w:r w:rsidRPr="00261248">
        <w:rPr>
          <w:rFonts w:ascii="Avenir Next LT Pro" w:hAnsi="Avenir Next LT Pro"/>
          <w:noProof/>
        </w:rPr>
        <mc:AlternateContent>
          <mc:Choice Requires="wps">
            <w:drawing>
              <wp:anchor distT="0" distB="0" distL="114300" distR="114300" simplePos="0" relativeHeight="251644416" behindDoc="0" locked="0" layoutInCell="1" allowOverlap="1" wp14:anchorId="40862766" wp14:editId="16F39E55">
                <wp:simplePos x="0" y="0"/>
                <wp:positionH relativeFrom="column">
                  <wp:posOffset>-405765</wp:posOffset>
                </wp:positionH>
                <wp:positionV relativeFrom="paragraph">
                  <wp:posOffset>-231140</wp:posOffset>
                </wp:positionV>
                <wp:extent cx="6515100" cy="0"/>
                <wp:effectExtent l="13335" t="6985" r="5715" b="12065"/>
                <wp:wrapNone/>
                <wp:docPr id="2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6B8B62D" id="Line 5"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8.2pt" to="481.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" strokecolor="#c4bc96 [2414]" strokeweight=".5pt">
                <v:shadow opacity="22938f" offset="0"/>
              </v:line>
            </w:pict>
          </mc:Fallback>
        </mc:AlternateContent>
      </w:r>
      <w:r w:rsidRPr="00261248">
        <w:rPr>
          <w:rFonts w:ascii="Avenir Next LT Pro" w:hAnsi="Avenir Next LT Pro"/>
          <w:noProof/>
        </w:rPr>
        <mc:AlternateContent>
          <mc:Choice Requires="wps">
            <w:drawing>
              <wp:anchor distT="0" distB="0" distL="114300" distR="114300" simplePos="0" relativeHeight="251643392" behindDoc="0" locked="0" layoutInCell="1" allowOverlap="1" wp14:anchorId="707EA5BF" wp14:editId="45A9820E">
                <wp:simplePos x="0" y="0"/>
                <wp:positionH relativeFrom="column">
                  <wp:posOffset>-405765</wp:posOffset>
                </wp:positionH>
                <wp:positionV relativeFrom="paragraph">
                  <wp:posOffset>-180340</wp:posOffset>
                </wp:positionV>
                <wp:extent cx="6515100" cy="0"/>
                <wp:effectExtent l="13335" t="10160" r="5715" b="8890"/>
                <wp:wrapNone/>
                <wp:docPr id="2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571AC03" id="Line 2" o:spid="_x0000_s1026" style="position:absolute;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4.2pt" to="481.05pt,-1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" strokecolor="#c4bc96 [2414]" strokeweight=".5pt">
                <v:shadow opacity="22938f" offset="0"/>
              </v:line>
            </w:pict>
          </mc:Fallback>
        </mc:AlternateContent>
      </w:r>
      <w:r w:rsidRPr="00261248">
        <w:rPr>
          <w:rFonts w:ascii="Avenir Next LT Pro" w:hAnsi="Avenir Next LT Pro"/>
          <w:noProof/>
        </w:rPr>
        <mc:AlternateContent>
          <mc:Choice Requires="wps">
            <w:drawing>
              <wp:anchor distT="0" distB="0" distL="114300" distR="114300" simplePos="0" relativeHeight="251646464" behindDoc="0" locked="0" layoutInCell="1" allowOverlap="1" wp14:anchorId="12EF1BB2" wp14:editId="7A062F83">
                <wp:simplePos x="0" y="0"/>
                <wp:positionH relativeFrom="column">
                  <wp:posOffset>-405765</wp:posOffset>
                </wp:positionH>
                <wp:positionV relativeFrom="paragraph">
                  <wp:posOffset>1374140</wp:posOffset>
                </wp:positionV>
                <wp:extent cx="6515100" cy="0"/>
                <wp:effectExtent l="13335" t="12065" r="5715" b="6985"/>
                <wp:wrapNone/>
                <wp:docPr id="21"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9DCD966" id="Line 7"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08.2pt" to="481.05pt,10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" strokecolor="#c4bc96 [2414]" strokeweight=".5pt">
                <v:shadow opacity="22938f" offset="0"/>
              </v:line>
            </w:pict>
          </mc:Fallback>
        </mc:AlternateContent>
      </w:r>
      <w:r w:rsidRPr="00261248">
        <w:rPr>
          <w:rFonts w:ascii="Avenir Next LT Pro" w:hAnsi="Avenir Next LT Pro"/>
          <w:noProof/>
        </w:rPr>
        <mc:AlternateContent>
          <mc:Choice Requires="wps">
            <w:drawing>
              <wp:anchor distT="0" distB="0" distL="114300" distR="114300" simplePos="0" relativeHeight="251647488" behindDoc="0" locked="0" layoutInCell="1" allowOverlap="1" wp14:anchorId="5A59A91A" wp14:editId="3CB935AB">
                <wp:simplePos x="0" y="0"/>
                <wp:positionH relativeFrom="column">
                  <wp:posOffset>-405765</wp:posOffset>
                </wp:positionH>
                <wp:positionV relativeFrom="paragraph">
                  <wp:posOffset>1323340</wp:posOffset>
                </wp:positionV>
                <wp:extent cx="6515100" cy="0"/>
                <wp:effectExtent l="13335" t="8890" r="5715" b="10160"/>
                <wp:wrapNone/>
                <wp:docPr id="20"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D1E97B1" id="Line 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04.2pt" to="481.05pt,1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" strokecolor="#c4bc96 [2414]" strokeweight=".5pt">
                <v:shadow opacity="22938f" offset="0"/>
              </v:line>
            </w:pict>
          </mc:Fallback>
        </mc:AlternateContent>
      </w:r>
      <w:r w:rsidR="00263149" w:rsidRPr="00261248">
        <w:rPr>
          <w:rFonts w:ascii="Avenir Next LT Pro" w:hAnsi="Avenir Next LT Pro"/>
        </w:rPr>
        <w:t xml:space="preserve">    </w:t>
      </w:r>
    </w:p>
    <w:p w14:paraId="0F0AF0FF" w14:textId="77777777" w:rsidR="00263149" w:rsidRPr="00261248" w:rsidRDefault="00263149" w:rsidP="00004B07">
      <w:pPr>
        <w:rPr>
          <w:rFonts w:ascii="Avenir Next LT Pro" w:hAnsi="Avenir Next LT Pro"/>
        </w:rPr>
      </w:pPr>
    </w:p>
    <w:p w14:paraId="31CC243B" w14:textId="77777777" w:rsidR="00263149" w:rsidRPr="00261248" w:rsidRDefault="00263149" w:rsidP="00004B07">
      <w:pPr>
        <w:rPr>
          <w:rFonts w:ascii="Avenir Next LT Pro" w:hAnsi="Avenir Next LT Pro"/>
        </w:rPr>
      </w:pPr>
    </w:p>
    <w:p w14:paraId="7F96AABF" w14:textId="77777777" w:rsidR="00263149" w:rsidRPr="00261248" w:rsidRDefault="00263149" w:rsidP="00004B07">
      <w:pPr>
        <w:rPr>
          <w:rFonts w:ascii="Avenir Next LT Pro" w:hAnsi="Avenir Next LT Pro"/>
        </w:rPr>
      </w:pPr>
      <w:r w:rsidRPr="00261248">
        <w:rPr>
          <w:rFonts w:ascii="Avenir Next LT Pro" w:hAnsi="Avenir Next LT Pro"/>
        </w:rPr>
        <w:t xml:space="preserve">   </w:t>
      </w:r>
    </w:p>
    <w:p w14:paraId="62B5B18A" w14:textId="77777777" w:rsidR="00477013" w:rsidRPr="00261248" w:rsidRDefault="00477013" w:rsidP="008E40C2">
      <w:pPr>
        <w:pStyle w:val="Subhead"/>
        <w:jc w:val="left"/>
        <w:rPr>
          <w:rFonts w:ascii="Avenir Next LT Pro" w:hAnsi="Avenir Next LT Pro"/>
          <w:color w:val="0F243E" w:themeColor="text2" w:themeShade="80"/>
        </w:rPr>
      </w:pPr>
    </w:p>
    <w:p w14:paraId="3F8BA61C" w14:textId="77777777" w:rsidR="00EB5BEA" w:rsidRDefault="00EB5BEA" w:rsidP="00004B07">
      <w:pPr>
        <w:pStyle w:val="Subhead"/>
        <w:rPr>
          <w:rFonts w:ascii="Avenir Next LT Pro" w:hAnsi="Avenir Next LT Pro"/>
          <w:color w:val="0F243E" w:themeColor="text2" w:themeShade="80"/>
          <w:sz w:val="24"/>
        </w:rPr>
      </w:pPr>
    </w:p>
    <w:p w14:paraId="1AAEF766" w14:textId="77777777" w:rsidR="005816D5" w:rsidRDefault="005816D5" w:rsidP="00004B07">
      <w:pPr>
        <w:pStyle w:val="Subhead"/>
        <w:rPr>
          <w:rFonts w:ascii="Avenir Next LT Pro" w:hAnsi="Avenir Next LT Pro"/>
          <w:color w:val="0F243E" w:themeColor="text2" w:themeShade="80"/>
          <w:sz w:val="24"/>
        </w:rPr>
      </w:pPr>
    </w:p>
    <w:p w14:paraId="6F68DE2F" w14:textId="28AD47FA" w:rsidR="00FA213B" w:rsidRPr="00261248" w:rsidRDefault="00D45312" w:rsidP="00004B07">
      <w:pPr>
        <w:pStyle w:val="Subhead"/>
        <w:rPr>
          <w:rFonts w:ascii="Avenir Next LT Pro" w:hAnsi="Avenir Next LT Pro"/>
          <w:color w:val="0F243E" w:themeColor="text2" w:themeShade="80"/>
          <w:sz w:val="24"/>
        </w:rPr>
      </w:pPr>
      <w:r w:rsidRPr="00261248">
        <w:rPr>
          <w:rFonts w:ascii="Avenir Next LT Pro" w:hAnsi="Avenir Next LT Pro"/>
          <w:color w:val="0F243E" w:themeColor="text2" w:themeShade="80"/>
          <w:sz w:val="24"/>
        </w:rPr>
        <w:t>about us</w:t>
      </w:r>
    </w:p>
    <w:p w14:paraId="2520B639" w14:textId="77777777" w:rsidR="00FA213B" w:rsidRPr="00261248" w:rsidRDefault="006A47D5" w:rsidP="00004B07">
      <w:pPr>
        <w:rPr>
          <w:rFonts w:ascii="Avenir Next LT Pro" w:hAnsi="Avenir Next LT Pro"/>
          <w:b/>
          <w:caps/>
          <w:spacing w:val="40"/>
        </w:rPr>
      </w:pPr>
      <w:r w:rsidRPr="00261248">
        <w:rPr>
          <w:rFonts w:ascii="Avenir Next LT Pro" w:hAnsi="Avenir Next LT Pro"/>
          <w:b/>
          <w:caps/>
          <w:noProof/>
          <w:spacing w:val="40"/>
        </w:rPr>
        <mc:AlternateContent>
          <mc:Choice Requires="wps">
            <w:drawing>
              <wp:anchor distT="0" distB="0" distL="114300" distR="114300" simplePos="0" relativeHeight="251649536" behindDoc="0" locked="0" layoutInCell="1" allowOverlap="1" wp14:anchorId="284CB831" wp14:editId="2242E5D4">
                <wp:simplePos x="0" y="0"/>
                <wp:positionH relativeFrom="column">
                  <wp:posOffset>2040255</wp:posOffset>
                </wp:positionH>
                <wp:positionV relativeFrom="paragraph">
                  <wp:posOffset>99060</wp:posOffset>
                </wp:positionV>
                <wp:extent cx="1325880" cy="0"/>
                <wp:effectExtent l="11430" t="13335" r="5715" b="5715"/>
                <wp:wrapTight wrapText="bothSides">
                  <wp:wrapPolygon edited="0">
                    <wp:start x="-62" y="-2147483648"/>
                    <wp:lineTo x="0" y="-2147483648"/>
                    <wp:lineTo x="10862" y="-2147483648"/>
                    <wp:lineTo x="10862" y="-2147483648"/>
                    <wp:lineTo x="21538" y="-2147483648"/>
                    <wp:lineTo x="21724" y="-2147483648"/>
                    <wp:lineTo x="-62" y="-2147483648"/>
                  </wp:wrapPolygon>
                </wp:wrapTight>
                <wp:docPr id="19"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588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81A7E17" id="Line 17"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0.65pt,7.8pt" to="265.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" strokecolor="#c4bc96 [2414]" strokeweight=".5pt">
                <v:shadow opacity="22938f" offset="0"/>
                <w10:wrap type="tight"/>
              </v:line>
            </w:pict>
          </mc:Fallback>
        </mc:AlternateContent>
      </w:r>
    </w:p>
    <w:p w14:paraId="72FB7A00" w14:textId="77777777" w:rsidR="0062238E" w:rsidRPr="00261248" w:rsidRDefault="0062238E" w:rsidP="00A6112C">
      <w:pPr>
        <w:pStyle w:val="RunningCopy"/>
        <w:keepNext/>
        <w:framePr w:dropCap="drop" w:lines="3" w:wrap="around" w:vAnchor="text" w:hAnchor="text"/>
        <w:suppressAutoHyphens w:val="0"/>
        <w:spacing w:line="1080" w:lineRule="exact"/>
        <w:ind w:right="-288"/>
        <w:jc w:val="both"/>
        <w:rPr>
          <w:rFonts w:ascii="Avenir Next LT Pro" w:hAnsi="Avenir Next LT Pro"/>
          <w:position w:val="-13"/>
          <w:szCs w:val="20"/>
        </w:rPr>
      </w:pPr>
      <w:r w:rsidRPr="00261248">
        <w:rPr>
          <w:rFonts w:ascii="Avenir Next LT Pro" w:hAnsi="Avenir Next LT Pro"/>
          <w:color w:val="DDD9C3" w:themeColor="background2" w:themeShade="E6"/>
          <w:position w:val="-13"/>
          <w:sz w:val="123"/>
        </w:rPr>
        <w:t>B</w:t>
      </w:r>
    </w:p>
    <w:p w14:paraId="3418CF38" w14:textId="6C6F45EE" w:rsidR="00414CD2" w:rsidRPr="00A6112C" w:rsidRDefault="00A6112C" w:rsidP="00A6112C">
      <w:pPr>
        <w:ind w:right="-288"/>
        <w:jc w:val="both"/>
        <w:rPr>
          <w:rFonts w:ascii="Avenir Next LT Pro" w:hAnsi="Avenir Next LT Pro"/>
          <w:sz w:val="19"/>
          <w:szCs w:val="19"/>
        </w:rPr>
      </w:pPr>
      <w:r w:rsidRPr="00A6112C">
        <w:rPr>
          <w:rFonts w:ascii="Avenir Next LT Pro" w:hAnsi="Avenir Next LT Pro"/>
          <w:sz w:val="19"/>
          <w:szCs w:val="19"/>
        </w:rPr>
        <w:t>iggins Lacy Shapiro &amp; Co. (BLS &amp; Co.) is one of the largest specialty site selection and incentives advisory consulting firms in North America, helping companies compete and flourish by optimizing location choices. Our team has helped many of the world’s most successful and demanding companies identify the best locations, secure incentives, obtain development approvals, and optimize energy strategies. We site facilities ranging from manufacturing operations to data centers, shared service facilities and corporate headquarters, and frequently partner with the largest, most respected global service providers in real estate brokerage, consulting, accounting, architecture and engineering.</w:t>
      </w:r>
      <w:r w:rsidR="006B3819">
        <w:rPr>
          <w:rFonts w:ascii="Avenir Next LT Pro" w:hAnsi="Avenir Next LT Pro"/>
          <w:sz w:val="19"/>
          <w:szCs w:val="19"/>
        </w:rPr>
        <w:t xml:space="preserve"> </w:t>
      </w:r>
      <w:r w:rsidRPr="00A6112C">
        <w:rPr>
          <w:rFonts w:ascii="Avenir Next LT Pro" w:hAnsi="Avenir Next LT Pro"/>
          <w:sz w:val="19"/>
          <w:szCs w:val="19"/>
        </w:rPr>
        <w:t>Our firm’s trademarked multi-disciplinary approach, Location Economics®, has built a track record of creating value for companies and their communities.</w:t>
      </w:r>
    </w:p>
    <w:p w14:paraId="1DC66D1D" w14:textId="77777777" w:rsidR="00A6112C" w:rsidRPr="00261248" w:rsidRDefault="00A6112C" w:rsidP="00A6112C">
      <w:pPr>
        <w:ind w:left="-180"/>
        <w:jc w:val="both"/>
        <w:rPr>
          <w:rFonts w:ascii="Avenir Next LT Pro" w:hAnsi="Avenir Next LT Pro"/>
          <w:b/>
          <w:color w:val="17365D" w:themeColor="text2" w:themeShade="BF"/>
          <w:sz w:val="22"/>
          <w:szCs w:val="22"/>
        </w:rPr>
      </w:pPr>
    </w:p>
    <w:p w14:paraId="447C7138" w14:textId="542E338B" w:rsidR="0062238E" w:rsidRPr="00261248" w:rsidRDefault="00720875" w:rsidP="00D45312">
      <w:pPr>
        <w:pStyle w:val="Subhead"/>
        <w:rPr>
          <w:rFonts w:ascii="Avenir Next LT Pro" w:hAnsi="Avenir Next LT Pro"/>
          <w:color w:val="0F243E" w:themeColor="text2" w:themeShade="80"/>
        </w:rPr>
      </w:pPr>
      <w:r>
        <w:rPr>
          <w:rFonts w:ascii="Avenir Next LT Pro" w:hAnsi="Avenir Next LT Pro"/>
          <w:color w:val="0F243E" w:themeColor="text2" w:themeShade="80"/>
        </w:rPr>
        <w:t>the Inflation Reduction</w:t>
      </w:r>
      <w:r w:rsidR="00A64435">
        <w:rPr>
          <w:rFonts w:ascii="Avenir Next LT Pro" w:hAnsi="Avenir Next LT Pro"/>
          <w:color w:val="0F243E" w:themeColor="text2" w:themeShade="80"/>
        </w:rPr>
        <w:t xml:space="preserve"> </w:t>
      </w:r>
      <w:r>
        <w:rPr>
          <w:rFonts w:ascii="Avenir Next LT Pro" w:hAnsi="Avenir Next LT Pro"/>
          <w:color w:val="0F243E" w:themeColor="text2" w:themeShade="80"/>
        </w:rPr>
        <w:t xml:space="preserve">Act </w:t>
      </w:r>
      <w:r w:rsidR="00A64435">
        <w:rPr>
          <w:rFonts w:ascii="Avenir Next LT Pro" w:hAnsi="Avenir Next LT Pro"/>
          <w:color w:val="0F243E" w:themeColor="text2" w:themeShade="80"/>
        </w:rPr>
        <w:t>AND</w:t>
      </w:r>
      <w:r>
        <w:rPr>
          <w:rFonts w:ascii="Avenir Next LT Pro" w:hAnsi="Avenir Next LT Pro"/>
          <w:color w:val="0F243E" w:themeColor="text2" w:themeShade="80"/>
        </w:rPr>
        <w:t xml:space="preserve"> Site Selection</w:t>
      </w:r>
    </w:p>
    <w:p w14:paraId="75104EED" w14:textId="77777777" w:rsidR="00D45312" w:rsidRPr="00261248" w:rsidRDefault="006A47D5" w:rsidP="008E40C2">
      <w:pPr>
        <w:pStyle w:val="Subhead"/>
        <w:rPr>
          <w:rFonts w:ascii="Avenir Next LT Pro" w:hAnsi="Avenir Next LT Pro"/>
        </w:rPr>
      </w:pPr>
      <w:r w:rsidRPr="00261248">
        <w:rPr>
          <w:rFonts w:ascii="Avenir Next LT Pro" w:hAnsi="Avenir Next LT Pro"/>
          <w:noProof/>
        </w:rPr>
        <mc:AlternateContent>
          <mc:Choice Requires="wps">
            <w:drawing>
              <wp:anchor distT="0" distB="0" distL="114300" distR="114300" simplePos="0" relativeHeight="251652608" behindDoc="0" locked="0" layoutInCell="1" allowOverlap="1" wp14:anchorId="7B77A810" wp14:editId="38777AE7">
                <wp:simplePos x="0" y="0"/>
                <wp:positionH relativeFrom="column">
                  <wp:posOffset>1308735</wp:posOffset>
                </wp:positionH>
                <wp:positionV relativeFrom="paragraph">
                  <wp:posOffset>38735</wp:posOffset>
                </wp:positionV>
                <wp:extent cx="2857500" cy="0"/>
                <wp:effectExtent l="13335" t="10160" r="5715" b="8890"/>
                <wp:wrapTight wrapText="bothSides">
                  <wp:wrapPolygon edited="0">
                    <wp:start x="-62" y="-2147483648"/>
                    <wp:lineTo x="0" y="-2147483648"/>
                    <wp:lineTo x="10862" y="-2147483648"/>
                    <wp:lineTo x="10862" y="-2147483648"/>
                    <wp:lineTo x="21538" y="-2147483648"/>
                    <wp:lineTo x="21725" y="-2147483648"/>
                    <wp:lineTo x="-62" y="-2147483648"/>
                  </wp:wrapPolygon>
                </wp:wrapTight>
                <wp:docPr id="1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575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E58B900" id="Line 32" o:spid="_x0000_s1026" style="position:absolute;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3.05pt,3.05pt" to="328.0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" strokecolor="#c4bc96 [2414]" strokeweight=".5pt">
                <v:shadow opacity="22938f" offset="0"/>
                <w10:wrap type="tight"/>
              </v:line>
            </w:pict>
          </mc:Fallback>
        </mc:AlternateContent>
      </w:r>
    </w:p>
    <w:p w14:paraId="73AB5E0C" w14:textId="08528259" w:rsidR="00A6112C" w:rsidRDefault="00720875" w:rsidP="00A6112C">
      <w:pPr>
        <w:pStyle w:val="Subhead"/>
        <w:ind w:right="-288"/>
        <w:jc w:val="left"/>
        <w:rPr>
          <w:rFonts w:ascii="Avenir Next LT Pro" w:hAnsi="Avenir Next LT Pro" w:cstheme="minorHAnsi"/>
          <w:b w:val="0"/>
          <w:caps w:val="0"/>
          <w:color w:val="auto"/>
          <w:spacing w:val="0"/>
          <w:sz w:val="19"/>
          <w:szCs w:val="19"/>
          <w14:ligatures w14:val="standardContextual"/>
        </w:rPr>
      </w:pPr>
      <w:r w:rsidRPr="00720875">
        <w:rPr>
          <w:rFonts w:ascii="Avenir Next LT Pro" w:hAnsi="Avenir Next LT Pro" w:cstheme="minorHAnsi"/>
          <w:b w:val="0"/>
          <w:caps w:val="0"/>
          <w:color w:val="auto"/>
          <w:spacing w:val="0"/>
          <w:sz w:val="19"/>
          <w:szCs w:val="19"/>
          <w14:ligatures w14:val="standardContextual"/>
        </w:rPr>
        <w:t>Signed into law by President Biden in August 2022, the Inflation Reduction Act of 2022 (IRA) provides over $320 billion new and enhanced incentives designed to increase clean energy production in the United States, support energy innovation, and encourage investing in disadvantaged communities and projects that redevelop fossil fuel infrastructure and employ displaced workers. While the IRA took effect on January 1, 2023, some tax credits are available for use currently while others are not available for use until future years.   This resource guide is intended to provide an overview of key tax credit provisions and relevant issues, and particularly geographic factors that could – and likely should – be taken into consideration during a site selection process.</w:t>
      </w:r>
    </w:p>
    <w:p w14:paraId="25382BC4" w14:textId="77777777" w:rsidR="005816D5" w:rsidRDefault="005816D5" w:rsidP="00A6112C">
      <w:pPr>
        <w:pStyle w:val="Subhead"/>
        <w:ind w:right="-288"/>
        <w:jc w:val="left"/>
        <w:rPr>
          <w:rFonts w:ascii="Avenir Next LT Pro" w:hAnsi="Avenir Next LT Pro" w:cstheme="minorHAnsi"/>
          <w:b w:val="0"/>
          <w:caps w:val="0"/>
          <w:color w:val="auto"/>
          <w:spacing w:val="0"/>
          <w:sz w:val="19"/>
          <w:szCs w:val="19"/>
          <w14:ligatures w14:val="standardContextual"/>
        </w:rPr>
      </w:pPr>
    </w:p>
    <w:p w14:paraId="633596DF" w14:textId="5A52A042" w:rsidR="0062238E" w:rsidRPr="00261248" w:rsidRDefault="006A47D5" w:rsidP="00A6112C">
      <w:pPr>
        <w:pStyle w:val="Subhead"/>
        <w:ind w:right="-288"/>
        <w:rPr>
          <w:rFonts w:ascii="Avenir Next LT Pro" w:hAnsi="Avenir Next LT Pro"/>
          <w:color w:val="0F243E" w:themeColor="text2" w:themeShade="80"/>
          <w:szCs w:val="22"/>
        </w:rPr>
      </w:pPr>
      <w:r w:rsidRPr="00261248">
        <w:rPr>
          <w:rFonts w:ascii="Avenir Next LT Pro" w:hAnsi="Avenir Next LT Pro"/>
          <w:noProof/>
          <w:color w:val="0F243E" w:themeColor="text2" w:themeShade="80"/>
          <w:szCs w:val="22"/>
        </w:rPr>
        <mc:AlternateContent>
          <mc:Choice Requires="wps">
            <w:drawing>
              <wp:anchor distT="0" distB="0" distL="114300" distR="114300" simplePos="0" relativeHeight="251653632" behindDoc="0" locked="0" layoutInCell="1" allowOverlap="1" wp14:anchorId="5AB2CAF4" wp14:editId="1820E715">
                <wp:simplePos x="0" y="0"/>
                <wp:positionH relativeFrom="column">
                  <wp:posOffset>1194435</wp:posOffset>
                </wp:positionH>
                <wp:positionV relativeFrom="paragraph">
                  <wp:posOffset>193040</wp:posOffset>
                </wp:positionV>
                <wp:extent cx="3086100" cy="0"/>
                <wp:effectExtent l="13335" t="12065" r="5715" b="6985"/>
                <wp:wrapTight wrapText="bothSides">
                  <wp:wrapPolygon edited="0">
                    <wp:start x="-62" y="-2147483648"/>
                    <wp:lineTo x="0" y="-2147483648"/>
                    <wp:lineTo x="10862" y="-2147483648"/>
                    <wp:lineTo x="10862" y="-2147483648"/>
                    <wp:lineTo x="21538" y="-2147483648"/>
                    <wp:lineTo x="21724" y="-2147483648"/>
                    <wp:lineTo x="-62" y="-2147483648"/>
                  </wp:wrapPolygon>
                </wp:wrapTight>
                <wp:docPr id="1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6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74C6A5" id="Line 33"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4.05pt,15.2pt" to="337.0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" strokecolor="#c4bc96 [2414]" strokeweight=".5pt">
                <v:shadow opacity="22938f" offset="0"/>
                <w10:wrap type="tight"/>
              </v:line>
            </w:pict>
          </mc:Fallback>
        </mc:AlternateContent>
      </w:r>
      <w:r w:rsidR="00720875">
        <w:rPr>
          <w:rFonts w:ascii="Avenir Next LT Pro" w:hAnsi="Avenir Next LT Pro"/>
          <w:noProof/>
          <w:color w:val="0F243E" w:themeColor="text2" w:themeShade="80"/>
          <w:szCs w:val="22"/>
        </w:rPr>
        <w:t>IRA SUMMARY</w:t>
      </w:r>
    </w:p>
    <w:p w14:paraId="017B9243" w14:textId="77777777" w:rsidR="00A6112C" w:rsidRDefault="00A6112C" w:rsidP="00A6112C">
      <w:pPr>
        <w:pStyle w:val="ListParagraph"/>
        <w:jc w:val="both"/>
        <w:rPr>
          <w:rFonts w:ascii="Avenir Next LT Pro" w:eastAsiaTheme="minorHAnsi" w:hAnsi="Avenir Next LT Pro"/>
        </w:rPr>
      </w:pPr>
    </w:p>
    <w:p w14:paraId="70A33362" w14:textId="77777777" w:rsidR="00A6395A" w:rsidRDefault="00A6395A" w:rsidP="00A6395A">
      <w:pPr>
        <w:pStyle w:val="Subhead"/>
        <w:ind w:right="-288"/>
        <w:jc w:val="left"/>
        <w:rPr>
          <w:rFonts w:ascii="Avenir Next LT Pro" w:hAnsi="Avenir Next LT Pro" w:cstheme="minorHAnsi"/>
          <w:b w:val="0"/>
          <w:caps w:val="0"/>
          <w:color w:val="auto"/>
          <w:spacing w:val="0"/>
          <w:sz w:val="19"/>
          <w:szCs w:val="19"/>
          <w14:ligatures w14:val="standardContextual"/>
        </w:rPr>
      </w:pPr>
      <w:r w:rsidRPr="00A6395A">
        <w:rPr>
          <w:rFonts w:ascii="Avenir Next LT Pro" w:hAnsi="Avenir Next LT Pro" w:cstheme="minorHAnsi"/>
          <w:b w:val="0"/>
          <w:caps w:val="0"/>
          <w:color w:val="auto"/>
          <w:spacing w:val="0"/>
          <w:sz w:val="19"/>
          <w:szCs w:val="19"/>
          <w14:ligatures w14:val="standardContextual"/>
        </w:rPr>
        <w:t>The IRA includes new and expanded tax credits and grant programs spanning a variety of categories.  Following is a list of select programs most relevant to private sector companies and project investors:</w:t>
      </w:r>
    </w:p>
    <w:p w14:paraId="41865DC8" w14:textId="3FF728F1" w:rsidR="00A6395A" w:rsidRDefault="00A6395A" w:rsidP="00A6395A">
      <w:pPr>
        <w:pStyle w:val="Subhead"/>
        <w:ind w:right="-288"/>
        <w:jc w:val="left"/>
        <w:rPr>
          <w:rFonts w:ascii="Avenir Next LT Pro" w:hAnsi="Avenir Next LT Pro" w:cstheme="minorHAnsi"/>
          <w:b w:val="0"/>
          <w:caps w:val="0"/>
          <w:color w:val="auto"/>
          <w:spacing w:val="0"/>
          <w:sz w:val="19"/>
          <w:szCs w:val="19"/>
          <w14:ligatures w14:val="standardContextual"/>
        </w:rPr>
      </w:pPr>
      <w:r w:rsidRPr="00720875">
        <w:rPr>
          <w:rFonts w:ascii="Avenir Next LT Pro" w:hAnsi="Avenir Next LT Pro" w:cstheme="minorHAnsi"/>
          <w:b w:val="0"/>
          <w:caps w:val="0"/>
          <w:color w:val="auto"/>
          <w:spacing w:val="0"/>
          <w:sz w:val="19"/>
          <w:szCs w:val="19"/>
          <w14:ligatures w14:val="standardContextual"/>
        </w:rPr>
        <w:t>geographic factors that could – and likely should – be taken into consideration during a site selection process.</w:t>
      </w:r>
    </w:p>
    <w:p w14:paraId="3723E4F0" w14:textId="77777777" w:rsidR="00A6395A" w:rsidRDefault="00A6395A" w:rsidP="00A6395A">
      <w:pPr>
        <w:jc w:val="both"/>
        <w:rPr>
          <w:rFonts w:ascii="Avenir Next LT Pro" w:hAnsi="Avenir Next LT Pro"/>
          <w:sz w:val="21"/>
          <w:szCs w:val="21"/>
        </w:rPr>
      </w:pPr>
    </w:p>
    <w:p w14:paraId="3BB4723B" w14:textId="4C3B04C6"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 xml:space="preserve">Clean Energy Credits &amp; Financing (including both production and investment credits) </w:t>
      </w:r>
    </w:p>
    <w:p w14:paraId="23C0ECB1" w14:textId="77777777" w:rsidR="0060340D" w:rsidRDefault="0060340D" w:rsidP="005816D5">
      <w:pPr>
        <w:pStyle w:val="ListParagraph"/>
        <w:numPr>
          <w:ilvl w:val="0"/>
          <w:numId w:val="26"/>
        </w:numPr>
        <w:jc w:val="both"/>
        <w:rPr>
          <w:rFonts w:ascii="Avenir Next LT Pro" w:hAnsi="Avenir Next LT Pro"/>
          <w:sz w:val="19"/>
          <w:szCs w:val="19"/>
        </w:rPr>
        <w:sectPr w:rsidR="0060340D" w:rsidSect="00EA2ED1">
          <w:headerReference w:type="default" r:id="rId9"/>
          <w:footerReference w:type="even" r:id="rId10"/>
          <w:footerReference w:type="default" r:id="rId11"/>
          <w:headerReference w:type="first" r:id="rId12"/>
          <w:footerReference w:type="first" r:id="rId13"/>
          <w:pgSz w:w="12240" w:h="15840"/>
          <w:pgMar w:top="1440" w:right="1800" w:bottom="1440" w:left="1800" w:header="720" w:footer="806" w:gutter="0"/>
          <w:pgNumType w:start="1"/>
          <w:cols w:space="720"/>
          <w:titlePg/>
        </w:sectPr>
      </w:pPr>
    </w:p>
    <w:p w14:paraId="148F0326" w14:textId="3176CE4F"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Fuel Tax Credits</w:t>
      </w:r>
    </w:p>
    <w:p w14:paraId="4D7887BE" w14:textId="59E80134"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Clean Vehicle Tax Credits</w:t>
      </w:r>
    </w:p>
    <w:p w14:paraId="23FC740B" w14:textId="217BADE2"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Carbon Management Credits</w:t>
      </w:r>
    </w:p>
    <w:p w14:paraId="26FC92AE" w14:textId="12B7A6CD"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Energy Innovation</w:t>
      </w:r>
    </w:p>
    <w:p w14:paraId="4293D808" w14:textId="0CC97A44"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Offshore Wind and Oil &amp; Gas Systems</w:t>
      </w:r>
    </w:p>
    <w:p w14:paraId="3CD374F0" w14:textId="25E726C0"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Community Investment &amp; Energy Justice</w:t>
      </w:r>
    </w:p>
    <w:p w14:paraId="1739E059" w14:textId="660BBDB4" w:rsidR="00A6395A" w:rsidRPr="005816D5" w:rsidRDefault="00A6395A" w:rsidP="005816D5">
      <w:pPr>
        <w:pStyle w:val="ListParagraph"/>
        <w:numPr>
          <w:ilvl w:val="0"/>
          <w:numId w:val="26"/>
        </w:numPr>
        <w:jc w:val="both"/>
        <w:rPr>
          <w:rFonts w:ascii="Avenir Next LT Pro" w:hAnsi="Avenir Next LT Pro"/>
          <w:sz w:val="19"/>
          <w:szCs w:val="19"/>
        </w:rPr>
      </w:pPr>
      <w:r w:rsidRPr="005816D5">
        <w:rPr>
          <w:rFonts w:ascii="Avenir Next LT Pro" w:hAnsi="Avenir Next LT Pro"/>
          <w:sz w:val="19"/>
          <w:szCs w:val="19"/>
        </w:rPr>
        <w:t>Permitting Process Efficiencies</w:t>
      </w:r>
    </w:p>
    <w:p w14:paraId="37C6ADA1" w14:textId="77777777" w:rsidR="00A6395A" w:rsidRPr="005816D5" w:rsidRDefault="00A6395A" w:rsidP="005816D5">
      <w:pPr>
        <w:pStyle w:val="ListParagraph"/>
        <w:numPr>
          <w:ilvl w:val="0"/>
          <w:numId w:val="26"/>
        </w:numPr>
        <w:jc w:val="both"/>
        <w:rPr>
          <w:rFonts w:ascii="Avenir Next LT Pro" w:hAnsi="Avenir Next LT Pro"/>
          <w:sz w:val="21"/>
          <w:szCs w:val="21"/>
        </w:rPr>
      </w:pPr>
      <w:r w:rsidRPr="005816D5">
        <w:rPr>
          <w:rFonts w:ascii="Avenir Next LT Pro" w:hAnsi="Avenir Next LT Pro"/>
          <w:sz w:val="19"/>
          <w:szCs w:val="19"/>
        </w:rPr>
        <w:t>Programs to support Agriculture and Forestry</w:t>
      </w:r>
      <w:r w:rsidRPr="005816D5">
        <w:rPr>
          <w:rFonts w:ascii="Avenir Next LT Pro" w:hAnsi="Avenir Next LT Pro"/>
          <w:sz w:val="21"/>
          <w:szCs w:val="21"/>
        </w:rPr>
        <w:t xml:space="preserve"> </w:t>
      </w:r>
    </w:p>
    <w:p w14:paraId="3B44FA6C" w14:textId="77777777" w:rsidR="0060340D" w:rsidRDefault="0060340D" w:rsidP="00A6395A">
      <w:pPr>
        <w:jc w:val="both"/>
        <w:rPr>
          <w:rFonts w:ascii="Avenir Next LT Pro" w:hAnsi="Avenir Next LT Pro"/>
          <w:sz w:val="21"/>
          <w:szCs w:val="21"/>
        </w:rPr>
        <w:sectPr w:rsidR="0060340D" w:rsidSect="0060340D">
          <w:type w:val="continuous"/>
          <w:pgSz w:w="12240" w:h="15840"/>
          <w:pgMar w:top="1440" w:right="1800" w:bottom="1440" w:left="1800" w:header="720" w:footer="806" w:gutter="0"/>
          <w:pgNumType w:start="1"/>
          <w:cols w:num="2" w:space="720"/>
          <w:titlePg/>
        </w:sectPr>
      </w:pPr>
    </w:p>
    <w:p w14:paraId="7FAE96F2" w14:textId="77777777" w:rsidR="00A6395A" w:rsidRDefault="00A6395A" w:rsidP="00A6395A">
      <w:pPr>
        <w:jc w:val="both"/>
        <w:rPr>
          <w:rFonts w:ascii="Avenir Next LT Pro" w:hAnsi="Avenir Next LT Pro"/>
          <w:sz w:val="21"/>
          <w:szCs w:val="21"/>
        </w:rPr>
      </w:pPr>
    </w:p>
    <w:p w14:paraId="4B2CF67D" w14:textId="77777777" w:rsidR="00A6395A" w:rsidRPr="00A6395A" w:rsidRDefault="00A6395A" w:rsidP="00A6395A">
      <w:pPr>
        <w:jc w:val="both"/>
        <w:rPr>
          <w:rFonts w:ascii="Avenir Next LT Pro" w:hAnsi="Avenir Next LT Pro"/>
          <w:sz w:val="19"/>
          <w:szCs w:val="19"/>
        </w:rPr>
      </w:pPr>
      <w:r w:rsidRPr="00A6395A">
        <w:rPr>
          <w:rFonts w:ascii="Avenir Next LT Pro" w:hAnsi="Avenir Next LT Pro"/>
          <w:sz w:val="19"/>
          <w:szCs w:val="19"/>
        </w:rPr>
        <w:lastRenderedPageBreak/>
        <w:t xml:space="preserve">For taxpayers without sufficient tax liability to realize the full value of these credits, including most project-specific Special Purpose Entities (SPEs), the IRA permits transfer of most of the credits, providing the ability to monetize the credits by selling them to taxpayers with adequate tax liability to fully utilize the credits.  Governmental entities and tax-exempt organizations may also be eligible to receive a direct payment of the credit.  </w:t>
      </w:r>
    </w:p>
    <w:p w14:paraId="17D51EA0" w14:textId="77777777" w:rsidR="00A6395A" w:rsidRDefault="00A6395A" w:rsidP="00A6395A">
      <w:pPr>
        <w:jc w:val="both"/>
        <w:rPr>
          <w:rFonts w:ascii="Avenir Next LT Pro" w:hAnsi="Avenir Next LT Pro"/>
          <w:sz w:val="19"/>
          <w:szCs w:val="19"/>
        </w:rPr>
      </w:pPr>
    </w:p>
    <w:p w14:paraId="16F8F862" w14:textId="2F9C3CCC" w:rsidR="00A6395A" w:rsidRPr="00A6395A" w:rsidRDefault="00A6395A" w:rsidP="00A6395A">
      <w:pPr>
        <w:jc w:val="both"/>
        <w:rPr>
          <w:rFonts w:ascii="Avenir Next LT Pro" w:hAnsi="Avenir Next LT Pro"/>
          <w:sz w:val="19"/>
          <w:szCs w:val="19"/>
        </w:rPr>
      </w:pPr>
      <w:r w:rsidRPr="00A6395A">
        <w:rPr>
          <w:rFonts w:ascii="Avenir Next LT Pro" w:hAnsi="Avenir Next LT Pro"/>
          <w:sz w:val="19"/>
          <w:szCs w:val="19"/>
        </w:rPr>
        <w:t xml:space="preserve">The IRA’s federal income tax credits for production and investment energy projects have designated “base rates” with the opportunity to earn “bonus” rate increases by meeting additional qualifying criteria, several of which are tied to the geographic location of the project.  </w:t>
      </w:r>
    </w:p>
    <w:p w14:paraId="5AE1129F" w14:textId="77777777" w:rsidR="00A6395A" w:rsidRDefault="00A6395A" w:rsidP="00A6395A">
      <w:pPr>
        <w:jc w:val="both"/>
        <w:rPr>
          <w:rFonts w:ascii="Avenir Next LT Pro" w:hAnsi="Avenir Next LT Pro"/>
          <w:sz w:val="19"/>
          <w:szCs w:val="19"/>
        </w:rPr>
      </w:pPr>
    </w:p>
    <w:p w14:paraId="685D9706" w14:textId="6604A2A9" w:rsidR="00A6395A" w:rsidRPr="00A6395A" w:rsidRDefault="00A6395A" w:rsidP="00A6395A">
      <w:pPr>
        <w:jc w:val="both"/>
        <w:rPr>
          <w:rFonts w:ascii="Avenir Next LT Pro" w:hAnsi="Avenir Next LT Pro"/>
          <w:sz w:val="19"/>
          <w:szCs w:val="19"/>
        </w:rPr>
      </w:pPr>
      <w:r w:rsidRPr="00A6395A">
        <w:rPr>
          <w:rFonts w:ascii="Avenir Next LT Pro" w:hAnsi="Avenir Next LT Pro"/>
          <w:sz w:val="19"/>
          <w:szCs w:val="19"/>
        </w:rPr>
        <w:t xml:space="preserve">“Base rate” means different things for different programs. More details can be found in the chart following, but, as an example, the new investment credits provide a base tax credit rate of 6% of qualified investment.   If the project meets the prevailing wage and apprenticeship requirements, the project could receive a credit five times greater than the base, i.e., 30%.    </w:t>
      </w:r>
    </w:p>
    <w:p w14:paraId="5E6D665D" w14:textId="77777777" w:rsidR="00A6395A" w:rsidRDefault="00A6395A" w:rsidP="00A6395A">
      <w:pPr>
        <w:jc w:val="both"/>
        <w:rPr>
          <w:rFonts w:ascii="Avenir Next LT Pro" w:hAnsi="Avenir Next LT Pro"/>
          <w:sz w:val="19"/>
          <w:szCs w:val="19"/>
        </w:rPr>
      </w:pPr>
    </w:p>
    <w:p w14:paraId="6F2D59F5" w14:textId="079446D1" w:rsidR="00A6395A" w:rsidRPr="00A6395A" w:rsidRDefault="00A6395A" w:rsidP="00A6395A">
      <w:pPr>
        <w:jc w:val="both"/>
        <w:rPr>
          <w:rFonts w:ascii="Avenir Next LT Pro" w:hAnsi="Avenir Next LT Pro"/>
          <w:sz w:val="19"/>
          <w:szCs w:val="19"/>
        </w:rPr>
      </w:pPr>
      <w:r w:rsidRPr="00A6395A">
        <w:rPr>
          <w:rFonts w:ascii="Avenir Next LT Pro" w:hAnsi="Avenir Next LT Pro"/>
          <w:sz w:val="19"/>
          <w:szCs w:val="19"/>
        </w:rPr>
        <w:t xml:space="preserve">The following chart provides an overview of production and investment credits created or extended by the IRA followed by an explanation of bonus enhancement and related requirements. Additional details on these programs-- as well as information on other fuel, vehicle, carbon management and other credits created by the IRA -- can be found on BLS’s website.    </w:t>
      </w:r>
    </w:p>
    <w:p w14:paraId="69FEF4E0" w14:textId="75052517" w:rsidR="00414CD2" w:rsidRPr="00261248" w:rsidRDefault="00414CD2" w:rsidP="00414CD2">
      <w:pPr>
        <w:pStyle w:val="RunningCopy"/>
        <w:jc w:val="both"/>
        <w:rPr>
          <w:rFonts w:ascii="Avenir Next LT Pro" w:hAnsi="Avenir Next LT Pro"/>
          <w:b/>
          <w:color w:val="17365D" w:themeColor="text2" w:themeShade="BF"/>
          <w:sz w:val="22"/>
          <w:szCs w:val="22"/>
        </w:rPr>
      </w:pPr>
    </w:p>
    <w:p w14:paraId="6230F053" w14:textId="2382AC76" w:rsidR="00414CD2" w:rsidRPr="00261248" w:rsidRDefault="00A6395A" w:rsidP="00414CD2">
      <w:pPr>
        <w:pStyle w:val="Subhead"/>
        <w:rPr>
          <w:rFonts w:ascii="Avenir Next LT Pro" w:hAnsi="Avenir Next LT Pro"/>
          <w:color w:val="0F243E" w:themeColor="text2" w:themeShade="80"/>
          <w:szCs w:val="22"/>
        </w:rPr>
      </w:pPr>
      <w:r>
        <w:rPr>
          <w:rFonts w:ascii="Avenir Next LT Pro" w:hAnsi="Avenir Next LT Pro"/>
          <w:color w:val="0F243E" w:themeColor="text2" w:themeShade="80"/>
          <w:szCs w:val="22"/>
        </w:rPr>
        <w:t>Bonus Enhancements</w:t>
      </w:r>
    </w:p>
    <w:p w14:paraId="0A80932C" w14:textId="77777777" w:rsidR="00414CD2" w:rsidRPr="00261248" w:rsidRDefault="00414CD2" w:rsidP="00414CD2">
      <w:pPr>
        <w:pStyle w:val="Subhead"/>
        <w:jc w:val="both"/>
        <w:rPr>
          <w:rFonts w:ascii="Avenir Next LT Pro" w:hAnsi="Avenir Next LT Pro"/>
          <w:szCs w:val="22"/>
        </w:rPr>
      </w:pPr>
      <w:r w:rsidRPr="00261248">
        <w:rPr>
          <w:rFonts w:ascii="Avenir Next LT Pro" w:hAnsi="Avenir Next LT Pro"/>
          <w:noProof/>
          <w:szCs w:val="22"/>
        </w:rPr>
        <mc:AlternateContent>
          <mc:Choice Requires="wps">
            <w:drawing>
              <wp:anchor distT="0" distB="0" distL="114300" distR="114300" simplePos="0" relativeHeight="251663872" behindDoc="0" locked="0" layoutInCell="1" allowOverlap="1" wp14:anchorId="019AAB7F" wp14:editId="25B1D691">
                <wp:simplePos x="0" y="0"/>
                <wp:positionH relativeFrom="column">
                  <wp:posOffset>1537335</wp:posOffset>
                </wp:positionH>
                <wp:positionV relativeFrom="paragraph">
                  <wp:posOffset>32385</wp:posOffset>
                </wp:positionV>
                <wp:extent cx="2400300" cy="0"/>
                <wp:effectExtent l="13335" t="13335" r="5715" b="5715"/>
                <wp:wrapTight wrapText="bothSides">
                  <wp:wrapPolygon edited="0">
                    <wp:start x="-63" y="-2147483648"/>
                    <wp:lineTo x="0" y="-2147483648"/>
                    <wp:lineTo x="10863" y="-2147483648"/>
                    <wp:lineTo x="10863" y="-2147483648"/>
                    <wp:lineTo x="21537" y="-2147483648"/>
                    <wp:lineTo x="21726" y="-2147483648"/>
                    <wp:lineTo x="-63" y="-2147483648"/>
                  </wp:wrapPolygon>
                </wp:wrapTight>
                <wp:docPr id="1693460315"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03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975A312" id="Line 34"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1.05pt,2.55pt" to="310.0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" strokecolor="#c4bc96 [2414]" strokeweight=".5pt">
                <v:shadow opacity="22938f" offset="0"/>
                <w10:wrap type="tight"/>
              </v:line>
            </w:pict>
          </mc:Fallback>
        </mc:AlternateContent>
      </w:r>
    </w:p>
    <w:p w14:paraId="0D79524D" w14:textId="77777777" w:rsidR="00A6395A" w:rsidRPr="00A6395A" w:rsidRDefault="00A6395A" w:rsidP="00A6395A">
      <w:pPr>
        <w:pStyle w:val="RunningCopy"/>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color w:val="auto"/>
          <w:sz w:val="19"/>
          <w:szCs w:val="19"/>
        </w:rPr>
        <w:t>Energy Communities Bonus:</w:t>
      </w:r>
      <w:r w:rsidRPr="00A6395A">
        <w:rPr>
          <w:rStyle w:val="Strong"/>
          <w:rFonts w:ascii="Avenir Next LT Pro" w:eastAsia="Times New Roman" w:hAnsi="Avenir Next LT Pro" w:cstheme="minorHAnsi"/>
          <w:b w:val="0"/>
          <w:bCs w:val="0"/>
          <w:color w:val="auto"/>
          <w:sz w:val="19"/>
          <w:szCs w:val="19"/>
        </w:rPr>
        <w:t xml:space="preserve"> As defined in the IRA, the Energy Community Tax Credit Bonus applies a bonus of up to 10% for projects and facilities located in energy communities. The IRA defines energy communities as any one of the following:</w:t>
      </w:r>
    </w:p>
    <w:p w14:paraId="42383C16" w14:textId="77777777" w:rsidR="00A6395A" w:rsidRPr="00A6395A" w:rsidRDefault="00A6395A" w:rsidP="00A6395A">
      <w:pPr>
        <w:pStyle w:val="RunningCopy"/>
        <w:jc w:val="both"/>
        <w:rPr>
          <w:rStyle w:val="Strong"/>
          <w:rFonts w:ascii="Avenir Next LT Pro" w:eastAsia="Times New Roman" w:hAnsi="Avenir Next LT Pro" w:cstheme="minorHAnsi"/>
          <w:b w:val="0"/>
          <w:bCs w:val="0"/>
          <w:color w:val="auto"/>
          <w:sz w:val="19"/>
          <w:szCs w:val="19"/>
        </w:rPr>
      </w:pPr>
    </w:p>
    <w:p w14:paraId="1D123483" w14:textId="554FF923" w:rsidR="00A6395A" w:rsidRPr="00A6395A" w:rsidRDefault="00A6395A" w:rsidP="00A6395A">
      <w:pPr>
        <w:pStyle w:val="RunningCopy"/>
        <w:numPr>
          <w:ilvl w:val="0"/>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A “brownfield site” (as defined in certain subparagraphs of the Comprehensive Environmental Response, Compensation, and Liability Act of 1980 (CERCLA))</w:t>
      </w:r>
    </w:p>
    <w:p w14:paraId="5403D3DD" w14:textId="05F0EF8F" w:rsidR="00A6395A" w:rsidRPr="00A6395A" w:rsidRDefault="00A6395A" w:rsidP="00A6395A">
      <w:pPr>
        <w:pStyle w:val="RunningCopy"/>
        <w:numPr>
          <w:ilvl w:val="0"/>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A “metropolitan statistical area” or “non-metropolitan statistical area” that has (or had at any time after 2009)</w:t>
      </w:r>
    </w:p>
    <w:p w14:paraId="79F55F25" w14:textId="77777777" w:rsidR="00A6395A" w:rsidRPr="00A6395A" w:rsidRDefault="00A6395A" w:rsidP="00A6395A">
      <w:pPr>
        <w:pStyle w:val="RunningCopy"/>
        <w:numPr>
          <w:ilvl w:val="1"/>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0.17% or greater direct employment or 25% or greater local tax revenues related to the extraction, processing, transport, or storage of coal, oil, or natural gas; and</w:t>
      </w:r>
    </w:p>
    <w:p w14:paraId="4F99ADDC" w14:textId="63E24170" w:rsidR="00A6395A" w:rsidRPr="00A6395A" w:rsidRDefault="00A6395A" w:rsidP="00A6395A">
      <w:pPr>
        <w:pStyle w:val="RunningCopy"/>
        <w:numPr>
          <w:ilvl w:val="1"/>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has an unemployment rate at or above the national average unemployment rate for the previous year.</w:t>
      </w:r>
    </w:p>
    <w:p w14:paraId="55AFA391" w14:textId="77777777" w:rsidR="00A6395A" w:rsidRPr="00A6395A" w:rsidRDefault="00A6395A" w:rsidP="00A6395A">
      <w:pPr>
        <w:pStyle w:val="RunningCopy"/>
        <w:numPr>
          <w:ilvl w:val="0"/>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A census tract (or directly adjoining census tract)</w:t>
      </w:r>
    </w:p>
    <w:p w14:paraId="4E22D8ED" w14:textId="77777777" w:rsidR="00A6395A" w:rsidRPr="00A6395A" w:rsidRDefault="00A6395A" w:rsidP="00A6395A">
      <w:pPr>
        <w:pStyle w:val="RunningCopy"/>
        <w:numPr>
          <w:ilvl w:val="1"/>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in which a coal mine has closed after 1999; or</w:t>
      </w:r>
    </w:p>
    <w:p w14:paraId="29E8E17A" w14:textId="77777777" w:rsidR="00A6395A" w:rsidRPr="00A6395A" w:rsidRDefault="00A6395A" w:rsidP="00A6395A">
      <w:pPr>
        <w:pStyle w:val="RunningCopy"/>
        <w:numPr>
          <w:ilvl w:val="1"/>
          <w:numId w:val="24"/>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in which a coal-fired electric generating unit has been retired after 2009.</w:t>
      </w:r>
    </w:p>
    <w:p w14:paraId="661ED5F1" w14:textId="77777777" w:rsidR="00A6395A" w:rsidRPr="00A6395A" w:rsidRDefault="00A6395A" w:rsidP="00A6395A">
      <w:pPr>
        <w:pStyle w:val="RunningCopy"/>
        <w:jc w:val="both"/>
        <w:rPr>
          <w:rStyle w:val="Strong"/>
          <w:rFonts w:ascii="Avenir Next LT Pro" w:eastAsia="Times New Roman" w:hAnsi="Avenir Next LT Pro" w:cstheme="minorHAnsi"/>
          <w:b w:val="0"/>
          <w:bCs w:val="0"/>
          <w:color w:val="auto"/>
          <w:sz w:val="21"/>
          <w:szCs w:val="21"/>
        </w:rPr>
      </w:pPr>
    </w:p>
    <w:p w14:paraId="347F150D" w14:textId="5E92A315" w:rsidR="006B3819" w:rsidRPr="00A6395A" w:rsidRDefault="00A6395A" w:rsidP="006B3819">
      <w:pPr>
        <w:pStyle w:val="RunningCopy"/>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There is no current mapping for all qualified brownfield sites; however, the Department of Energy launched a mapping tool that provides</w:t>
      </w:r>
      <w:r w:rsidR="00A64435">
        <w:rPr>
          <w:rStyle w:val="Strong"/>
          <w:rFonts w:ascii="Avenir Next LT Pro" w:eastAsia="Times New Roman" w:hAnsi="Avenir Next LT Pro" w:cstheme="minorHAnsi"/>
          <w:b w:val="0"/>
          <w:bCs w:val="0"/>
          <w:color w:val="auto"/>
          <w:sz w:val="19"/>
          <w:szCs w:val="19"/>
        </w:rPr>
        <w:t xml:space="preserve"> geographic </w:t>
      </w:r>
      <w:r w:rsidRPr="00A6395A">
        <w:rPr>
          <w:rStyle w:val="Strong"/>
          <w:rFonts w:ascii="Avenir Next LT Pro" w:eastAsia="Times New Roman" w:hAnsi="Avenir Next LT Pro" w:cstheme="minorHAnsi"/>
          <w:b w:val="0"/>
          <w:bCs w:val="0"/>
          <w:color w:val="auto"/>
          <w:sz w:val="19"/>
          <w:szCs w:val="19"/>
        </w:rPr>
        <w:t xml:space="preserve">eligibility </w:t>
      </w:r>
      <w:r w:rsidR="00A64435">
        <w:rPr>
          <w:rStyle w:val="Strong"/>
          <w:rFonts w:ascii="Avenir Next LT Pro" w:eastAsia="Times New Roman" w:hAnsi="Avenir Next LT Pro" w:cstheme="minorHAnsi"/>
          <w:b w:val="0"/>
          <w:bCs w:val="0"/>
          <w:color w:val="auto"/>
          <w:sz w:val="19"/>
          <w:szCs w:val="19"/>
        </w:rPr>
        <w:t xml:space="preserve">under the other categories except unemployment rate. </w:t>
      </w:r>
      <w:r w:rsidR="006B3819">
        <w:rPr>
          <w:rStyle w:val="Strong"/>
          <w:rFonts w:ascii="Avenir Next LT Pro" w:eastAsia="Times New Roman" w:hAnsi="Avenir Next LT Pro" w:cstheme="minorHAnsi"/>
          <w:b w:val="0"/>
          <w:bCs w:val="0"/>
          <w:color w:val="auto"/>
          <w:sz w:val="19"/>
          <w:szCs w:val="19"/>
        </w:rPr>
        <w:t xml:space="preserve"> </w:t>
      </w:r>
      <w:r w:rsidR="00A64435">
        <w:rPr>
          <w:rStyle w:val="Strong"/>
          <w:rFonts w:ascii="Avenir Next LT Pro" w:eastAsia="Times New Roman" w:hAnsi="Avenir Next LT Pro" w:cstheme="minorHAnsi"/>
          <w:b w:val="0"/>
          <w:bCs w:val="0"/>
          <w:color w:val="auto"/>
          <w:sz w:val="19"/>
          <w:szCs w:val="19"/>
        </w:rPr>
        <w:t xml:space="preserve">(See map on following page.) </w:t>
      </w:r>
      <w:r w:rsidR="006B3819" w:rsidRPr="00A6395A">
        <w:rPr>
          <w:rStyle w:val="Strong"/>
          <w:rFonts w:ascii="Avenir Next LT Pro" w:eastAsia="Times New Roman" w:hAnsi="Avenir Next LT Pro" w:cstheme="minorHAnsi"/>
          <w:b w:val="0"/>
          <w:bCs w:val="0"/>
          <w:color w:val="auto"/>
          <w:sz w:val="19"/>
          <w:szCs w:val="19"/>
        </w:rPr>
        <w:t xml:space="preserve">The Treasury Department and the IRS will release a listing of MSAs and non-MSAs qualifying by means of their unemployment rate once unemployment data for 2022 becomes available, expected in May 2023. This listing will apply to the period beginning on January 1, 2023, and will remain effective until the next annual listing. </w:t>
      </w:r>
    </w:p>
    <w:p w14:paraId="72FED004" w14:textId="07B951BD" w:rsidR="006B3819" w:rsidRDefault="006B3819" w:rsidP="00A6395A">
      <w:pPr>
        <w:pStyle w:val="RunningCopy"/>
        <w:jc w:val="both"/>
        <w:rPr>
          <w:rStyle w:val="Strong"/>
          <w:rFonts w:ascii="Avenir Next LT Pro" w:eastAsia="Times New Roman" w:hAnsi="Avenir Next LT Pro" w:cstheme="minorHAnsi"/>
          <w:b w:val="0"/>
          <w:bCs w:val="0"/>
          <w:color w:val="auto"/>
          <w:sz w:val="19"/>
          <w:szCs w:val="19"/>
        </w:rPr>
      </w:pPr>
    </w:p>
    <w:p w14:paraId="5EAC8896" w14:textId="77777777" w:rsidR="00A64435" w:rsidRPr="00A6395A" w:rsidRDefault="00A64435" w:rsidP="00A64435">
      <w:pPr>
        <w:pStyle w:val="RunningCopy"/>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color w:val="auto"/>
          <w:sz w:val="19"/>
          <w:szCs w:val="19"/>
        </w:rPr>
        <w:t>Domestic Requirements Bonus:</w:t>
      </w:r>
      <w:r w:rsidRPr="00A6395A">
        <w:rPr>
          <w:rStyle w:val="Strong"/>
          <w:rFonts w:ascii="Avenir Next LT Pro" w:eastAsia="Times New Roman" w:hAnsi="Avenir Next LT Pro" w:cstheme="minorHAnsi"/>
          <w:b w:val="0"/>
          <w:bCs w:val="0"/>
          <w:color w:val="auto"/>
          <w:sz w:val="19"/>
          <w:szCs w:val="19"/>
        </w:rPr>
        <w:t xml:space="preserve"> To qualify for the domestic content bonus credit (10%), taxpayers must demonstrate sufficient use of domestic iron, steel, and manufactured components.</w:t>
      </w:r>
    </w:p>
    <w:p w14:paraId="7CB78D7D" w14:textId="77777777" w:rsidR="00A6395A" w:rsidRPr="00A6395A" w:rsidRDefault="00A6395A" w:rsidP="00A6395A">
      <w:pPr>
        <w:shd w:val="clear" w:color="auto" w:fill="FFFFFF"/>
        <w:rPr>
          <w:rFonts w:ascii="Calibri" w:eastAsia="Times New Roman" w:hAnsi="Calibri" w:cs="Calibri"/>
          <w:color w:val="304E4E"/>
        </w:rPr>
      </w:pPr>
      <w:r w:rsidRPr="00A6395A">
        <w:rPr>
          <w:rFonts w:ascii="Calibri" w:eastAsia="Times New Roman" w:hAnsi="Calibri" w:cs="Calibri"/>
          <w:noProof/>
          <w:color w:val="304E4E"/>
        </w:rPr>
        <w:lastRenderedPageBreak/>
        <w:drawing>
          <wp:inline distT="0" distB="0" distL="0" distR="0" wp14:anchorId="4B4577FF" wp14:editId="43193E37">
            <wp:extent cx="5943600" cy="2799080"/>
            <wp:effectExtent l="0" t="0" r="0" b="127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4"/>
                    <a:stretch>
                      <a:fillRect/>
                    </a:stretch>
                  </pic:blipFill>
                  <pic:spPr>
                    <a:xfrm>
                      <a:off x="0" y="0"/>
                      <a:ext cx="5943600" cy="2799080"/>
                    </a:xfrm>
                    <a:prstGeom prst="rect">
                      <a:avLst/>
                    </a:prstGeom>
                  </pic:spPr>
                </pic:pic>
              </a:graphicData>
            </a:graphic>
          </wp:inline>
        </w:drawing>
      </w:r>
    </w:p>
    <w:p w14:paraId="28BBE4CE" w14:textId="77777777" w:rsidR="00A6395A" w:rsidRPr="00A6395A" w:rsidRDefault="00A6395A" w:rsidP="00A6395A">
      <w:pPr>
        <w:spacing w:after="160" w:line="259" w:lineRule="auto"/>
        <w:rPr>
          <w:rFonts w:ascii="Calibri" w:eastAsia="Calibri" w:hAnsi="Calibri" w:cs="Calibri"/>
          <w:color w:val="000000"/>
          <w:sz w:val="20"/>
          <w:szCs w:val="20"/>
          <w:shd w:val="clear" w:color="auto" w:fill="FFFFFF"/>
        </w:rPr>
      </w:pPr>
      <w:r w:rsidRPr="00A6395A">
        <w:rPr>
          <w:rFonts w:ascii="Calibri" w:eastAsia="Calibri" w:hAnsi="Calibri" w:cs="Calibri"/>
          <w:noProof/>
          <w:color w:val="000000"/>
          <w:sz w:val="20"/>
          <w:szCs w:val="20"/>
        </w:rPr>
        <mc:AlternateContent>
          <mc:Choice Requires="wps">
            <w:drawing>
              <wp:anchor distT="0" distB="0" distL="114300" distR="114300" simplePos="0" relativeHeight="251665920" behindDoc="0" locked="0" layoutInCell="1" allowOverlap="1" wp14:anchorId="3A748FE2" wp14:editId="24C0AB04">
                <wp:simplePos x="0" y="0"/>
                <wp:positionH relativeFrom="margin">
                  <wp:posOffset>-95251</wp:posOffset>
                </wp:positionH>
                <wp:positionV relativeFrom="paragraph">
                  <wp:posOffset>74930</wp:posOffset>
                </wp:positionV>
                <wp:extent cx="6124575" cy="447675"/>
                <wp:effectExtent l="0" t="0" r="9525" b="9525"/>
                <wp:wrapNone/>
                <wp:docPr id="95540098" name="Text Box 95540098"/>
                <wp:cNvGraphicFramePr/>
                <a:graphic xmlns:a="http://schemas.openxmlformats.org/drawingml/2006/main">
                  <a:graphicData uri="http://schemas.microsoft.com/office/word/2010/wordprocessingShape">
                    <wps:wsp>
                      <wps:cNvSpPr txBox="1"/>
                      <wps:spPr>
                        <a:xfrm>
                          <a:off x="0" y="0"/>
                          <a:ext cx="6124575" cy="447675"/>
                        </a:xfrm>
                        <a:prstGeom prst="rect">
                          <a:avLst/>
                        </a:prstGeom>
                        <a:solidFill>
                          <a:sysClr val="window" lastClr="FFFFFF"/>
                        </a:solidFill>
                        <a:ln w="6350">
                          <a:noFill/>
                        </a:ln>
                      </wps:spPr>
                      <wps:txbx>
                        <w:txbxContent>
                          <w:p w14:paraId="5D861A9B" w14:textId="77777777" w:rsidR="00A6395A" w:rsidRPr="00966381" w:rsidRDefault="00A6395A" w:rsidP="00A6395A">
                            <w:pPr>
                              <w:jc w:val="center"/>
                              <w:rPr>
                                <w:i/>
                                <w:iCs/>
                                <w:sz w:val="20"/>
                                <w:szCs w:val="20"/>
                              </w:rPr>
                            </w:pPr>
                            <w:r w:rsidRPr="00966381">
                              <w:rPr>
                                <w:i/>
                                <w:iCs/>
                                <w:sz w:val="20"/>
                                <w:szCs w:val="20"/>
                              </w:rPr>
                              <w:t xml:space="preserve">Areas shaded in orange or blue indicate areas deemed eligible for bonus enhancements. </w:t>
                            </w:r>
                            <w:r>
                              <w:rPr>
                                <w:i/>
                                <w:iCs/>
                                <w:sz w:val="20"/>
                                <w:szCs w:val="20"/>
                              </w:rPr>
                              <w:br/>
                            </w:r>
                            <w:r w:rsidRPr="00966381">
                              <w:rPr>
                                <w:i/>
                                <w:iCs/>
                                <w:sz w:val="20"/>
                                <w:szCs w:val="20"/>
                              </w:rPr>
                              <w:t>Additional determinations are pending.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48FE2" id="Text Box 95540098" o:spid="_x0000_s1027" type="#_x0000_t202" style="position:absolute;margin-left:-7.5pt;margin-top:5.9pt;width:482.25pt;height:35.25pt;z-index:251665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" fillcolor="window" stroked="f" strokeweight=".5pt">
                <v:textbox>
                  <w:txbxContent>
                    <w:p w14:paraId="5D861A9B" w14:textId="77777777" w:rsidR="00A6395A" w:rsidRPr="00966381" w:rsidRDefault="00A6395A" w:rsidP="00A6395A">
                      <w:pPr>
                        <w:jc w:val="center"/>
                        <w:rPr>
                          <w:i/>
                          <w:iCs/>
                          <w:sz w:val="20"/>
                          <w:szCs w:val="20"/>
                        </w:rPr>
                      </w:pPr>
                      <w:r w:rsidRPr="00966381">
                        <w:rPr>
                          <w:i/>
                          <w:iCs/>
                          <w:sz w:val="20"/>
                          <w:szCs w:val="20"/>
                        </w:rPr>
                        <w:t xml:space="preserve">Areas shaded in orange or blue indicate areas deemed eligible for bonus enhancements. </w:t>
                      </w:r>
                      <w:r>
                        <w:rPr>
                          <w:i/>
                          <w:iCs/>
                          <w:sz w:val="20"/>
                          <w:szCs w:val="20"/>
                        </w:rPr>
                        <w:br/>
                      </w:r>
                      <w:r w:rsidRPr="00966381">
                        <w:rPr>
                          <w:i/>
                          <w:iCs/>
                          <w:sz w:val="20"/>
                          <w:szCs w:val="20"/>
                        </w:rPr>
                        <w:t>Additional determinations are pending.</w:t>
                      </w:r>
                    </w:p>
                  </w:txbxContent>
                </v:textbox>
                <w10:wrap anchorx="margin"/>
              </v:shape>
            </w:pict>
          </mc:Fallback>
        </mc:AlternateContent>
      </w:r>
      <w:r w:rsidRPr="00A6395A">
        <w:rPr>
          <w:rFonts w:ascii="Calibri" w:eastAsia="Calibri" w:hAnsi="Calibri" w:cs="Calibri"/>
          <w:color w:val="000000"/>
          <w:sz w:val="20"/>
          <w:szCs w:val="20"/>
          <w:shd w:val="clear" w:color="auto" w:fill="FFFFFF"/>
        </w:rPr>
        <w:t xml:space="preserve">   </w:t>
      </w:r>
    </w:p>
    <w:p w14:paraId="2661842B" w14:textId="77777777" w:rsidR="00A6395A" w:rsidRDefault="00A6395A" w:rsidP="00A6395A">
      <w:pPr>
        <w:pStyle w:val="RunningCopy"/>
        <w:jc w:val="both"/>
        <w:rPr>
          <w:rStyle w:val="Strong"/>
          <w:rFonts w:ascii="Avenir Next LT Pro" w:eastAsia="Times New Roman" w:hAnsi="Avenir Next LT Pro" w:cstheme="minorHAnsi"/>
          <w:b w:val="0"/>
          <w:bCs w:val="0"/>
          <w:color w:val="auto"/>
          <w:sz w:val="19"/>
          <w:szCs w:val="19"/>
        </w:rPr>
      </w:pPr>
    </w:p>
    <w:p w14:paraId="660211E7" w14:textId="77777777" w:rsidR="00A6395A" w:rsidRDefault="00A6395A" w:rsidP="00A6395A">
      <w:pPr>
        <w:pStyle w:val="RunningCopy"/>
        <w:jc w:val="both"/>
        <w:rPr>
          <w:rStyle w:val="Strong"/>
          <w:rFonts w:ascii="Avenir Next LT Pro" w:eastAsia="Times New Roman" w:hAnsi="Avenir Next LT Pro" w:cstheme="minorHAnsi"/>
          <w:b w:val="0"/>
          <w:bCs w:val="0"/>
          <w:color w:val="auto"/>
          <w:sz w:val="19"/>
          <w:szCs w:val="19"/>
        </w:rPr>
      </w:pPr>
    </w:p>
    <w:p w14:paraId="2C81A31C" w14:textId="3413D468" w:rsidR="00A6395A" w:rsidRDefault="00A6395A" w:rsidP="00A6395A">
      <w:pPr>
        <w:pStyle w:val="RunningCopy"/>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color w:val="auto"/>
          <w:sz w:val="19"/>
          <w:szCs w:val="19"/>
        </w:rPr>
        <w:t>Prevailing Wage and Apprentice Bonus</w:t>
      </w:r>
      <w:r>
        <w:rPr>
          <w:rStyle w:val="Strong"/>
          <w:rFonts w:ascii="Avenir Next LT Pro" w:eastAsia="Times New Roman" w:hAnsi="Avenir Next LT Pro" w:cstheme="minorHAnsi"/>
          <w:color w:val="auto"/>
          <w:sz w:val="19"/>
          <w:szCs w:val="19"/>
        </w:rPr>
        <w:t>:</w:t>
      </w:r>
      <w:r w:rsidRPr="00A6395A">
        <w:rPr>
          <w:rStyle w:val="Strong"/>
          <w:rFonts w:ascii="Avenir Next LT Pro" w:eastAsia="Times New Roman" w:hAnsi="Avenir Next LT Pro" w:cstheme="minorHAnsi"/>
          <w:b w:val="0"/>
          <w:bCs w:val="0"/>
          <w:color w:val="auto"/>
          <w:sz w:val="19"/>
          <w:szCs w:val="19"/>
        </w:rPr>
        <w:t xml:space="preserve">  Several tax credits provide enhanced clean energy tax benefits of 5 times the base rate if prevailing wage and apprenticeship requirements are met.   </w:t>
      </w:r>
    </w:p>
    <w:p w14:paraId="4A0749DD" w14:textId="166EA907" w:rsidR="00A6395A" w:rsidRPr="00A6395A" w:rsidRDefault="00A6395A" w:rsidP="00A6395A">
      <w:pPr>
        <w:pStyle w:val="RunningCopy"/>
        <w:numPr>
          <w:ilvl w:val="0"/>
          <w:numId w:val="25"/>
        </w:numPr>
        <w:jc w:val="both"/>
        <w:rPr>
          <w:rStyle w:val="Strong"/>
          <w:rFonts w:ascii="Avenir Next LT Pro" w:eastAsia="Times New Roman" w:hAnsi="Avenir Next LT Pro" w:cstheme="minorHAnsi"/>
          <w:b w:val="0"/>
          <w:bCs w:val="0"/>
          <w:color w:val="auto"/>
          <w:sz w:val="19"/>
          <w:szCs w:val="19"/>
        </w:rPr>
      </w:pPr>
      <w:r w:rsidRPr="00A6395A">
        <w:rPr>
          <w:rStyle w:val="Strong"/>
          <w:rFonts w:ascii="Avenir Next LT Pro" w:eastAsia="Times New Roman" w:hAnsi="Avenir Next LT Pro" w:cstheme="minorHAnsi"/>
          <w:b w:val="0"/>
          <w:bCs w:val="0"/>
          <w:color w:val="auto"/>
          <w:sz w:val="19"/>
          <w:szCs w:val="19"/>
        </w:rPr>
        <w:t xml:space="preserve">“Prevailing Wage” refers to aligning a company’s compensation (basic hourly wage plus fringe benefits) with published industry norms for a given occupation/job </w:t>
      </w:r>
      <w:proofErr w:type="gramStart"/>
      <w:r w:rsidRPr="00A6395A">
        <w:rPr>
          <w:rStyle w:val="Strong"/>
          <w:rFonts w:ascii="Avenir Next LT Pro" w:eastAsia="Times New Roman" w:hAnsi="Avenir Next LT Pro" w:cstheme="minorHAnsi"/>
          <w:b w:val="0"/>
          <w:bCs w:val="0"/>
          <w:color w:val="auto"/>
          <w:sz w:val="19"/>
          <w:szCs w:val="19"/>
        </w:rPr>
        <w:t>in a given</w:t>
      </w:r>
      <w:proofErr w:type="gramEnd"/>
      <w:r w:rsidRPr="00A6395A">
        <w:rPr>
          <w:rStyle w:val="Strong"/>
          <w:rFonts w:ascii="Avenir Next LT Pro" w:eastAsia="Times New Roman" w:hAnsi="Avenir Next LT Pro" w:cstheme="minorHAnsi"/>
          <w:b w:val="0"/>
          <w:bCs w:val="0"/>
          <w:color w:val="auto"/>
          <w:sz w:val="19"/>
          <w:szCs w:val="19"/>
        </w:rPr>
        <w:t xml:space="preserve"> location.  Prevailing wage is determined by the U.S. Secretary of Labor and, applies to all laborers and mechanics for all hours performing construction, and in some cases alteration or repair, on the site of the work of a qualified facility. Companies must undertake specific record-keeping activities to document compliance with prevailing wage requirements. </w:t>
      </w:r>
    </w:p>
    <w:p w14:paraId="7E256D66" w14:textId="778B7A01" w:rsidR="005816D5" w:rsidRPr="0060340D" w:rsidRDefault="00A6395A" w:rsidP="0060340D">
      <w:pPr>
        <w:pStyle w:val="RunningCopy"/>
        <w:numPr>
          <w:ilvl w:val="0"/>
          <w:numId w:val="25"/>
        </w:numPr>
        <w:jc w:val="both"/>
        <w:rPr>
          <w:rStyle w:val="Strong"/>
          <w:rFonts w:ascii="Avenir Next LT Pro" w:eastAsia="Times New Roman" w:hAnsi="Avenir Next LT Pro" w:cstheme="minorHAnsi"/>
          <w:sz w:val="19"/>
          <w:szCs w:val="19"/>
        </w:rPr>
      </w:pPr>
      <w:r w:rsidRPr="0060340D">
        <w:rPr>
          <w:rStyle w:val="Strong"/>
          <w:rFonts w:ascii="Avenir Next LT Pro" w:eastAsia="Times New Roman" w:hAnsi="Avenir Next LT Pro" w:cstheme="minorHAnsi"/>
          <w:b w:val="0"/>
          <w:bCs w:val="0"/>
          <w:color w:val="auto"/>
          <w:sz w:val="19"/>
          <w:szCs w:val="19"/>
        </w:rPr>
        <w:t xml:space="preserve">To meet apprenticeship requirements, qualified apprentices must be used for a designated percentage of total labor hours for construction, alteration, or repair work on the qualified facility or energy project (10% for projects started before 1/1/23, 12.5% for projects started during 2023 and 15% for projects started after 12/31/23).    </w:t>
      </w:r>
    </w:p>
    <w:p w14:paraId="058441D2" w14:textId="77777777" w:rsidR="0060340D" w:rsidRPr="0060340D" w:rsidRDefault="0060340D" w:rsidP="0060340D">
      <w:pPr>
        <w:pStyle w:val="RunningCopy"/>
        <w:jc w:val="both"/>
        <w:rPr>
          <w:rStyle w:val="Strong"/>
          <w:rFonts w:ascii="Avenir Next LT Pro" w:eastAsia="Times New Roman" w:hAnsi="Avenir Next LT Pro" w:cstheme="minorHAnsi"/>
          <w:sz w:val="19"/>
          <w:szCs w:val="19"/>
        </w:rPr>
      </w:pPr>
    </w:p>
    <w:p w14:paraId="112E1F31" w14:textId="33E9BAF0" w:rsidR="002C448C" w:rsidRPr="00261248" w:rsidRDefault="005816D5" w:rsidP="004B16FF">
      <w:pPr>
        <w:pStyle w:val="Subhead"/>
        <w:rPr>
          <w:rFonts w:ascii="Avenir Next LT Pro" w:hAnsi="Avenir Next LT Pro"/>
          <w:color w:val="0F243E" w:themeColor="text2" w:themeShade="80"/>
          <w:szCs w:val="22"/>
        </w:rPr>
      </w:pPr>
      <w:r>
        <w:rPr>
          <w:rFonts w:ascii="Avenir Next LT Pro" w:hAnsi="Avenir Next LT Pro"/>
          <w:color w:val="0F243E" w:themeColor="text2" w:themeShade="80"/>
          <w:szCs w:val="22"/>
        </w:rPr>
        <w:t>Conclusion</w:t>
      </w:r>
    </w:p>
    <w:p w14:paraId="7C6302E2" w14:textId="77777777" w:rsidR="004A6384" w:rsidRPr="00261248" w:rsidRDefault="006A47D5" w:rsidP="004A6384">
      <w:pPr>
        <w:pStyle w:val="ListBullet"/>
        <w:numPr>
          <w:ilvl w:val="0"/>
          <w:numId w:val="0"/>
        </w:numPr>
        <w:jc w:val="center"/>
        <w:rPr>
          <w:rFonts w:ascii="Avenir Next LT Pro" w:hAnsi="Avenir Next LT Pro"/>
          <w:sz w:val="22"/>
          <w:szCs w:val="22"/>
        </w:rPr>
      </w:pPr>
      <w:r w:rsidRPr="00261248">
        <w:rPr>
          <w:rFonts w:ascii="Avenir Next LT Pro" w:hAnsi="Avenir Next LT Pro"/>
          <w:noProof/>
          <w:sz w:val="22"/>
          <w:szCs w:val="22"/>
        </w:rPr>
        <mc:AlternateContent>
          <mc:Choice Requires="wps">
            <w:drawing>
              <wp:anchor distT="0" distB="0" distL="114300" distR="114300" simplePos="0" relativeHeight="251659776" behindDoc="0" locked="0" layoutInCell="1" allowOverlap="1" wp14:anchorId="2C6EC344" wp14:editId="3045DEEC">
                <wp:simplePos x="0" y="0"/>
                <wp:positionH relativeFrom="column">
                  <wp:posOffset>-320040</wp:posOffset>
                </wp:positionH>
                <wp:positionV relativeFrom="paragraph">
                  <wp:posOffset>174625</wp:posOffset>
                </wp:positionV>
                <wp:extent cx="6286500" cy="0"/>
                <wp:effectExtent l="13335" t="12700" r="5715" b="6350"/>
                <wp:wrapTight wrapText="bothSides">
                  <wp:wrapPolygon edited="0">
                    <wp:start x="-61" y="-2147483648"/>
                    <wp:lineTo x="0" y="-2147483648"/>
                    <wp:lineTo x="10861" y="-2147483648"/>
                    <wp:lineTo x="10861" y="-2147483648"/>
                    <wp:lineTo x="21537" y="-2147483648"/>
                    <wp:lineTo x="21724" y="-2147483648"/>
                    <wp:lineTo x="-61" y="-2147483648"/>
                  </wp:wrapPolygon>
                </wp:wrapTight>
                <wp:docPr id="12"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355583C" id="Line 37"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3.75pt" to="469.8pt,1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" strokecolor="#c4bc96 [2414]" strokeweight=".5pt">
                <v:shadow opacity="22938f" offset="0"/>
                <w10:wrap type="tight"/>
              </v:line>
            </w:pict>
          </mc:Fallback>
        </mc:AlternateContent>
      </w:r>
    </w:p>
    <w:p w14:paraId="36736325" w14:textId="53DA855B" w:rsidR="005816D5" w:rsidRPr="005816D5" w:rsidRDefault="005816D5" w:rsidP="005816D5">
      <w:pPr>
        <w:rPr>
          <w:rFonts w:ascii="Avenir Next LT Pro" w:hAnsi="Avenir Next LT Pro"/>
          <w:sz w:val="19"/>
          <w:szCs w:val="19"/>
        </w:rPr>
      </w:pPr>
      <w:r w:rsidRPr="005816D5">
        <w:rPr>
          <w:rFonts w:ascii="Avenir Next LT Pro" w:hAnsi="Avenir Next LT Pro"/>
          <w:sz w:val="19"/>
          <w:szCs w:val="19"/>
        </w:rPr>
        <w:t>The IRA has provided significant tax incentives designed to transition the nation’s reliance on fossil fuels to clean energy production and use. BLS &amp; Co. would be pleased to assist you in pursuing IRA benefits and designing a site selection strategy that optimizes IRA eligibility and other important location considerations.  For more information contact:</w:t>
      </w:r>
    </w:p>
    <w:p w14:paraId="4BA2D811" w14:textId="77777777" w:rsidR="005816D5" w:rsidRPr="005816D5" w:rsidRDefault="005816D5" w:rsidP="005816D5">
      <w:pPr>
        <w:rPr>
          <w:rFonts w:ascii="Avenir Next LT Pro" w:hAnsi="Avenir Next LT Pro"/>
          <w:sz w:val="22"/>
          <w:szCs w:val="22"/>
        </w:rPr>
      </w:pPr>
    </w:p>
    <w:p w14:paraId="03AF52C5" w14:textId="247FE5F7" w:rsidR="005816D5" w:rsidRPr="005816D5" w:rsidRDefault="005816D5" w:rsidP="005816D5">
      <w:pPr>
        <w:rPr>
          <w:rFonts w:ascii="Avenir Next LT Pro" w:hAnsi="Avenir Next LT Pro"/>
          <w:sz w:val="19"/>
          <w:szCs w:val="19"/>
        </w:rPr>
      </w:pPr>
      <w:r w:rsidRPr="001D48DC">
        <w:rPr>
          <w:rFonts w:ascii="Avenir Next LT Pro" w:hAnsi="Avenir Next LT Pro"/>
          <w:b/>
          <w:bCs/>
          <w:sz w:val="19"/>
          <w:szCs w:val="19"/>
        </w:rPr>
        <w:t>Jay Biggins</w:t>
      </w:r>
      <w:r w:rsidRPr="005816D5">
        <w:rPr>
          <w:rFonts w:ascii="Avenir Next LT Pro" w:hAnsi="Avenir Next LT Pro"/>
          <w:sz w:val="19"/>
          <w:szCs w:val="19"/>
        </w:rPr>
        <w:tab/>
      </w:r>
      <w:r w:rsidRPr="005816D5">
        <w:rPr>
          <w:rFonts w:ascii="Avenir Next LT Pro" w:hAnsi="Avenir Next LT Pro"/>
          <w:sz w:val="19"/>
          <w:szCs w:val="19"/>
        </w:rPr>
        <w:tab/>
      </w:r>
      <w:r w:rsidRPr="005816D5">
        <w:rPr>
          <w:rFonts w:ascii="Avenir Next LT Pro" w:hAnsi="Avenir Next LT Pro"/>
          <w:sz w:val="19"/>
          <w:szCs w:val="19"/>
        </w:rPr>
        <w:tab/>
        <w:t xml:space="preserve">   </w:t>
      </w:r>
      <w:r w:rsidRPr="001D48DC">
        <w:rPr>
          <w:rFonts w:ascii="Avenir Next LT Pro" w:hAnsi="Avenir Next LT Pro"/>
          <w:b/>
          <w:bCs/>
          <w:sz w:val="19"/>
          <w:szCs w:val="19"/>
        </w:rPr>
        <w:t>Stephanie Mercado</w:t>
      </w:r>
      <w:r w:rsidRPr="005816D5">
        <w:rPr>
          <w:rFonts w:ascii="Avenir Next LT Pro" w:hAnsi="Avenir Next LT Pro"/>
          <w:sz w:val="19"/>
          <w:szCs w:val="19"/>
        </w:rPr>
        <w:tab/>
      </w:r>
      <w:r w:rsidRPr="005816D5">
        <w:rPr>
          <w:rFonts w:ascii="Avenir Next LT Pro" w:hAnsi="Avenir Next LT Pro"/>
          <w:sz w:val="19"/>
          <w:szCs w:val="19"/>
        </w:rPr>
        <w:tab/>
        <w:t xml:space="preserve">       </w:t>
      </w:r>
      <w:r w:rsidRPr="001D48DC">
        <w:rPr>
          <w:rFonts w:ascii="Avenir Next LT Pro" w:hAnsi="Avenir Next LT Pro"/>
          <w:b/>
          <w:bCs/>
          <w:sz w:val="19"/>
          <w:szCs w:val="19"/>
        </w:rPr>
        <w:t>Tracey Hyatt Bosman</w:t>
      </w:r>
    </w:p>
    <w:p w14:paraId="7806F840" w14:textId="781F1914" w:rsidR="005816D5" w:rsidRPr="005816D5" w:rsidRDefault="005816D5" w:rsidP="005816D5">
      <w:pPr>
        <w:rPr>
          <w:rFonts w:ascii="Avenir Next LT Pro" w:hAnsi="Avenir Next LT Pro"/>
          <w:sz w:val="19"/>
          <w:szCs w:val="19"/>
        </w:rPr>
      </w:pPr>
      <w:r w:rsidRPr="005816D5">
        <w:rPr>
          <w:rFonts w:ascii="Avenir Next LT Pro" w:hAnsi="Avenir Next LT Pro"/>
          <w:sz w:val="19"/>
          <w:szCs w:val="19"/>
        </w:rPr>
        <w:t>jcbiggins@BLSstrategies.com</w:t>
      </w:r>
      <w:r w:rsidRPr="005816D5">
        <w:rPr>
          <w:rFonts w:ascii="Avenir Next LT Pro" w:hAnsi="Avenir Next LT Pro"/>
          <w:sz w:val="19"/>
          <w:szCs w:val="19"/>
        </w:rPr>
        <w:tab/>
        <w:t xml:space="preserve">   smercado@BLSstrategies.com</w:t>
      </w:r>
      <w:r w:rsidRPr="005816D5">
        <w:rPr>
          <w:rFonts w:ascii="Avenir Next LT Pro" w:hAnsi="Avenir Next LT Pro"/>
          <w:sz w:val="19"/>
          <w:szCs w:val="19"/>
        </w:rPr>
        <w:tab/>
        <w:t xml:space="preserve">       tbosman@BLSstrategies.com </w:t>
      </w:r>
    </w:p>
    <w:p w14:paraId="23065081" w14:textId="77777777" w:rsidR="003049E0" w:rsidRDefault="005816D5" w:rsidP="00477013">
      <w:pPr>
        <w:rPr>
          <w:rFonts w:ascii="Avenir Next LT Pro" w:hAnsi="Avenir Next LT Pro"/>
          <w:sz w:val="19"/>
          <w:szCs w:val="19"/>
        </w:rPr>
      </w:pPr>
      <w:r w:rsidRPr="005816D5">
        <w:rPr>
          <w:rFonts w:ascii="Avenir Next LT Pro" w:hAnsi="Avenir Next LT Pro"/>
          <w:sz w:val="19"/>
          <w:szCs w:val="19"/>
        </w:rPr>
        <w:t>+1-609-613-4275</w:t>
      </w:r>
      <w:r w:rsidRPr="005816D5">
        <w:rPr>
          <w:rFonts w:ascii="Avenir Next LT Pro" w:hAnsi="Avenir Next LT Pro"/>
          <w:sz w:val="19"/>
          <w:szCs w:val="19"/>
        </w:rPr>
        <w:tab/>
      </w:r>
      <w:r w:rsidRPr="005816D5">
        <w:rPr>
          <w:rFonts w:ascii="Avenir Next LT Pro" w:hAnsi="Avenir Next LT Pro"/>
          <w:sz w:val="19"/>
          <w:szCs w:val="19"/>
        </w:rPr>
        <w:tab/>
        <w:t xml:space="preserve">   +1-440-864-3369</w:t>
      </w:r>
      <w:r w:rsidRPr="005816D5">
        <w:rPr>
          <w:rFonts w:ascii="Avenir Next LT Pro" w:hAnsi="Avenir Next LT Pro"/>
          <w:sz w:val="19"/>
          <w:szCs w:val="19"/>
        </w:rPr>
        <w:tab/>
      </w:r>
      <w:r w:rsidRPr="005816D5">
        <w:rPr>
          <w:rFonts w:ascii="Avenir Next LT Pro" w:hAnsi="Avenir Next LT Pro"/>
          <w:sz w:val="19"/>
          <w:szCs w:val="19"/>
        </w:rPr>
        <w:tab/>
        <w:t xml:space="preserve">       +1-312-924-2490</w:t>
      </w:r>
    </w:p>
    <w:p w14:paraId="0FC3955A" w14:textId="5B9D4CC1" w:rsidR="003049E0" w:rsidRDefault="000616CA">
      <w:pPr>
        <w:rPr>
          <w:rFonts w:ascii="Avenir Next LT Pro" w:hAnsi="Avenir Next LT Pro"/>
          <w:sz w:val="19"/>
          <w:szCs w:val="19"/>
        </w:rPr>
      </w:pPr>
      <w:r w:rsidRPr="00261248">
        <w:rPr>
          <w:rFonts w:ascii="Avenir Next LT Pro" w:hAnsi="Avenir Next LT Pro"/>
          <w:noProof/>
          <w:sz w:val="22"/>
          <w:szCs w:val="22"/>
        </w:rPr>
        <mc:AlternateContent>
          <mc:Choice Requires="wps">
            <w:drawing>
              <wp:anchor distT="0" distB="0" distL="114300" distR="114300" simplePos="0" relativeHeight="251667968" behindDoc="0" locked="0" layoutInCell="1" allowOverlap="1" wp14:anchorId="3C966F4A" wp14:editId="5DF75EA5">
                <wp:simplePos x="0" y="0"/>
                <wp:positionH relativeFrom="margin">
                  <wp:posOffset>1286510</wp:posOffset>
                </wp:positionH>
                <wp:positionV relativeFrom="paragraph">
                  <wp:posOffset>59994</wp:posOffset>
                </wp:positionV>
                <wp:extent cx="2912745" cy="1403985"/>
                <wp:effectExtent l="0" t="0" r="0" b="0"/>
                <wp:wrapNone/>
                <wp:docPr id="2514062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2745" cy="1403985"/>
                        </a:xfrm>
                        <a:prstGeom prst="rect">
                          <a:avLst/>
                        </a:prstGeom>
                        <a:noFill/>
                        <a:ln w="9525">
                          <a:noFill/>
                          <a:miter lim="800000"/>
                          <a:headEnd/>
                          <a:tailEnd/>
                        </a:ln>
                      </wps:spPr>
                      <wps:txbx>
                        <w:txbxContent>
                          <w:p w14:paraId="3B595B48" w14:textId="77777777" w:rsidR="000616CA" w:rsidRDefault="000616CA" w:rsidP="000616CA">
                            <w:pPr>
                              <w:jc w:val="center"/>
                              <w:rPr>
                                <w:b/>
                                <w:color w:val="1F497D" w:themeColor="text2"/>
                              </w:rPr>
                            </w:pPr>
                            <w:r w:rsidRPr="00206037">
                              <w:rPr>
                                <w:b/>
                                <w:color w:val="1F497D" w:themeColor="text2"/>
                              </w:rPr>
                              <w:t>Biggins Lacy Shapiro &amp; Company</w:t>
                            </w:r>
                          </w:p>
                          <w:p w14:paraId="6A1F2025" w14:textId="6A71E408" w:rsidR="000616CA" w:rsidRPr="00206037" w:rsidRDefault="000616CA" w:rsidP="000616CA">
                            <w:pPr>
                              <w:jc w:val="center"/>
                              <w:rPr>
                                <w:b/>
                                <w:color w:val="1F497D" w:themeColor="text2"/>
                              </w:rPr>
                            </w:pPr>
                            <w:hyperlink r:id="rId15" w:history="1">
                              <w:r w:rsidRPr="00B90F95">
                                <w:rPr>
                                  <w:rStyle w:val="Hyperlink"/>
                                  <w:b/>
                                </w:rPr>
                                <w:t>www.BLSstrategies.com</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C966F4A" id="_x0000_t202" coordsize="21600,21600" o:spt="202" path="m,l,21600r21600,l21600,xe">
                <v:stroke joinstyle="miter"/>
                <v:path gradientshapeok="t" o:connecttype="rect"/>
              </v:shapetype>
              <v:shape id="Text Box 2" o:spid="_x0000_s1028" type="#_x0000_t202" style="position:absolute;margin-left:101.3pt;margin-top:4.7pt;width:229.35pt;height:110.55pt;z-index:251667968;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" filled="f" stroked="f">
                <v:textbox style="mso-fit-shape-to-text:t">
                  <w:txbxContent>
                    <w:p w14:paraId="3B595B48" w14:textId="77777777" w:rsidR="000616CA" w:rsidRDefault="000616CA" w:rsidP="000616CA">
                      <w:pPr>
                        <w:jc w:val="center"/>
                        <w:rPr>
                          <w:b/>
                          <w:color w:val="1F497D" w:themeColor="text2"/>
                        </w:rPr>
                      </w:pPr>
                      <w:r w:rsidRPr="00206037">
                        <w:rPr>
                          <w:b/>
                          <w:color w:val="1F497D" w:themeColor="text2"/>
                        </w:rPr>
                        <w:t>Biggins Lacy Shapiro &amp; Company</w:t>
                      </w:r>
                    </w:p>
                    <w:p w14:paraId="6A1F2025" w14:textId="6A71E408" w:rsidR="000616CA" w:rsidRPr="00206037" w:rsidRDefault="000616CA" w:rsidP="000616CA">
                      <w:pPr>
                        <w:jc w:val="center"/>
                        <w:rPr>
                          <w:b/>
                          <w:color w:val="1F497D" w:themeColor="text2"/>
                        </w:rPr>
                      </w:pPr>
                      <w:hyperlink r:id="rId16" w:history="1">
                        <w:r w:rsidRPr="00B90F95">
                          <w:rPr>
                            <w:rStyle w:val="Hyperlink"/>
                            <w:b/>
                          </w:rPr>
                          <w:t>www.BLSstrategies.com</w:t>
                        </w:r>
                      </w:hyperlink>
                    </w:p>
                  </w:txbxContent>
                </v:textbox>
                <w10:wrap anchorx="margin"/>
              </v:shape>
            </w:pict>
          </mc:Fallback>
        </mc:AlternateContent>
      </w:r>
      <w:r w:rsidR="003049E0">
        <w:rPr>
          <w:rFonts w:ascii="Avenir Next LT Pro" w:hAnsi="Avenir Next LT Pro"/>
          <w:sz w:val="19"/>
          <w:szCs w:val="19"/>
        </w:rPr>
        <w:br w:type="page"/>
      </w:r>
    </w:p>
    <w:tbl>
      <w:tblPr>
        <w:tblW w:w="10440" w:type="dxa"/>
        <w:tblInd w:w="-635" w:type="dxa"/>
        <w:tblLayout w:type="fixed"/>
        <w:tblLook w:val="04A0" w:firstRow="1" w:lastRow="0" w:firstColumn="1" w:lastColumn="0" w:noHBand="0" w:noVBand="1"/>
      </w:tblPr>
      <w:tblGrid>
        <w:gridCol w:w="1620"/>
        <w:gridCol w:w="2519"/>
        <w:gridCol w:w="3241"/>
        <w:gridCol w:w="982"/>
        <w:gridCol w:w="1062"/>
        <w:gridCol w:w="1016"/>
      </w:tblGrid>
      <w:tr w:rsidR="003049E0" w:rsidRPr="00222C65" w14:paraId="1F14286E" w14:textId="77777777" w:rsidTr="00882E95">
        <w:trPr>
          <w:trHeight w:val="620"/>
        </w:trPr>
        <w:tc>
          <w:tcPr>
            <w:tcW w:w="162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54487E06"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lastRenderedPageBreak/>
              <w:t>Industry/ Project</w:t>
            </w:r>
          </w:p>
        </w:tc>
        <w:tc>
          <w:tcPr>
            <w:tcW w:w="2519" w:type="dxa"/>
            <w:tcBorders>
              <w:top w:val="single" w:sz="4" w:space="0" w:color="000000"/>
              <w:left w:val="nil"/>
              <w:bottom w:val="single" w:sz="4" w:space="0" w:color="000000"/>
              <w:right w:val="single" w:sz="4" w:space="0" w:color="000000"/>
            </w:tcBorders>
            <w:shd w:val="clear" w:color="000000" w:fill="FFFFFF"/>
            <w:vAlign w:val="center"/>
            <w:hideMark/>
          </w:tcPr>
          <w:p w14:paraId="7C17A15D"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t>Credit and Description</w:t>
            </w:r>
          </w:p>
        </w:tc>
        <w:tc>
          <w:tcPr>
            <w:tcW w:w="3241" w:type="dxa"/>
            <w:tcBorders>
              <w:top w:val="single" w:sz="4" w:space="0" w:color="000000"/>
              <w:left w:val="nil"/>
              <w:bottom w:val="single" w:sz="4" w:space="0" w:color="000000"/>
              <w:right w:val="single" w:sz="4" w:space="0" w:color="000000"/>
            </w:tcBorders>
            <w:shd w:val="clear" w:color="000000" w:fill="FFFFFF"/>
            <w:vAlign w:val="center"/>
            <w:hideMark/>
          </w:tcPr>
          <w:p w14:paraId="31967049"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t>Rate, Term &amp; Timing</w:t>
            </w:r>
          </w:p>
        </w:tc>
        <w:tc>
          <w:tcPr>
            <w:tcW w:w="982" w:type="dxa"/>
            <w:tcBorders>
              <w:top w:val="single" w:sz="4" w:space="0" w:color="000000"/>
              <w:left w:val="nil"/>
              <w:bottom w:val="single" w:sz="4" w:space="0" w:color="000000"/>
              <w:right w:val="single" w:sz="4" w:space="0" w:color="000000"/>
            </w:tcBorders>
            <w:shd w:val="clear" w:color="000000" w:fill="FFFFFF"/>
            <w:vAlign w:val="center"/>
            <w:hideMark/>
          </w:tcPr>
          <w:p w14:paraId="735E71F7"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t>Energy Community Bonus (10%)</w:t>
            </w:r>
          </w:p>
        </w:tc>
        <w:tc>
          <w:tcPr>
            <w:tcW w:w="1062" w:type="dxa"/>
            <w:tcBorders>
              <w:top w:val="single" w:sz="4" w:space="0" w:color="000000"/>
              <w:left w:val="nil"/>
              <w:bottom w:val="single" w:sz="4" w:space="0" w:color="000000"/>
              <w:right w:val="single" w:sz="4" w:space="0" w:color="000000"/>
            </w:tcBorders>
            <w:shd w:val="clear" w:color="000000" w:fill="FFFFFF"/>
            <w:vAlign w:val="center"/>
            <w:hideMark/>
          </w:tcPr>
          <w:p w14:paraId="0946FB95"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t xml:space="preserve">Domestic Bonus (10%) /Domestic Requirement </w:t>
            </w:r>
          </w:p>
        </w:tc>
        <w:tc>
          <w:tcPr>
            <w:tcW w:w="1016" w:type="dxa"/>
            <w:tcBorders>
              <w:top w:val="single" w:sz="4" w:space="0" w:color="000000"/>
              <w:left w:val="nil"/>
              <w:bottom w:val="single" w:sz="4" w:space="0" w:color="000000"/>
              <w:right w:val="single" w:sz="4" w:space="0" w:color="000000"/>
            </w:tcBorders>
            <w:shd w:val="clear" w:color="000000" w:fill="FFFFFF"/>
            <w:vAlign w:val="center"/>
            <w:hideMark/>
          </w:tcPr>
          <w:p w14:paraId="032E3782" w14:textId="77777777" w:rsidR="003049E0" w:rsidRPr="00222C65" w:rsidRDefault="003049E0" w:rsidP="004A527E">
            <w:pPr>
              <w:jc w:val="center"/>
              <w:rPr>
                <w:rFonts w:ascii="Calibri" w:eastAsia="Times New Roman" w:hAnsi="Calibri" w:cs="Calibri"/>
                <w:b/>
                <w:bCs/>
                <w:color w:val="000000"/>
                <w:sz w:val="14"/>
                <w:szCs w:val="14"/>
              </w:rPr>
            </w:pPr>
            <w:r w:rsidRPr="00222C65">
              <w:rPr>
                <w:rFonts w:ascii="Calibri" w:eastAsia="Times New Roman" w:hAnsi="Calibri" w:cs="Calibri"/>
                <w:b/>
                <w:bCs/>
                <w:color w:val="000000"/>
                <w:sz w:val="14"/>
                <w:szCs w:val="14"/>
              </w:rPr>
              <w:t xml:space="preserve">Prevailing Wage Enhancement (5x) </w:t>
            </w:r>
          </w:p>
        </w:tc>
      </w:tr>
      <w:tr w:rsidR="003049E0" w:rsidRPr="00222C65" w14:paraId="6E123E10" w14:textId="77777777" w:rsidTr="00882E95">
        <w:trPr>
          <w:trHeight w:val="197"/>
        </w:trPr>
        <w:tc>
          <w:tcPr>
            <w:tcW w:w="10440" w:type="dxa"/>
            <w:gridSpan w:val="6"/>
            <w:tcBorders>
              <w:top w:val="single" w:sz="4" w:space="0" w:color="000000"/>
              <w:left w:val="single" w:sz="4" w:space="0" w:color="000000"/>
              <w:bottom w:val="single" w:sz="4" w:space="0" w:color="000000"/>
              <w:right w:val="single" w:sz="4" w:space="0" w:color="000000"/>
            </w:tcBorders>
            <w:shd w:val="clear" w:color="000000" w:fill="4472C4"/>
            <w:vAlign w:val="center"/>
            <w:hideMark/>
          </w:tcPr>
          <w:p w14:paraId="635FD243" w14:textId="7569B265" w:rsidR="003049E0" w:rsidRPr="00222C65" w:rsidRDefault="003049E0" w:rsidP="004A527E">
            <w:pPr>
              <w:jc w:val="center"/>
              <w:rPr>
                <w:rFonts w:ascii="Calibri" w:eastAsia="Times New Roman" w:hAnsi="Calibri" w:cs="Calibri"/>
                <w:b/>
                <w:bCs/>
                <w:color w:val="FFFFFF"/>
                <w:sz w:val="14"/>
                <w:szCs w:val="14"/>
              </w:rPr>
            </w:pPr>
            <w:r w:rsidRPr="00222C65">
              <w:rPr>
                <w:rFonts w:ascii="Calibri" w:eastAsia="Times New Roman" w:hAnsi="Calibri" w:cs="Calibri"/>
                <w:b/>
                <w:bCs/>
                <w:color w:val="FFFFFF"/>
                <w:sz w:val="14"/>
                <w:szCs w:val="14"/>
              </w:rPr>
              <w:t xml:space="preserve">CLEAN ENERGY TAX CREDITS: PRODUCTION TAX CREDITS </w:t>
            </w:r>
            <w:r w:rsidRPr="00222C65">
              <w:rPr>
                <w:rFonts w:ascii="Calibri" w:eastAsia="Times New Roman" w:hAnsi="Calibri" w:cs="Calibri"/>
                <w:b/>
                <w:bCs/>
                <w:color w:val="FFFFFF"/>
                <w:sz w:val="14"/>
                <w:szCs w:val="14"/>
                <w:u w:val="single"/>
              </w:rPr>
              <w:t>(TRANSFERABLE)</w:t>
            </w:r>
          </w:p>
        </w:tc>
      </w:tr>
      <w:tr w:rsidR="003049E0" w:rsidRPr="00222C65" w14:paraId="41866CCE" w14:textId="77777777" w:rsidTr="00882E95">
        <w:trPr>
          <w:trHeight w:val="1160"/>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4CE3D0F7"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Energy Developers </w:t>
            </w:r>
          </w:p>
        </w:tc>
        <w:tc>
          <w:tcPr>
            <w:tcW w:w="2519" w:type="dxa"/>
            <w:tcBorders>
              <w:top w:val="nil"/>
              <w:left w:val="nil"/>
              <w:bottom w:val="single" w:sz="4" w:space="0" w:color="000000"/>
              <w:right w:val="single" w:sz="4" w:space="0" w:color="000000"/>
            </w:tcBorders>
            <w:shd w:val="clear" w:color="000000" w:fill="FFFFFF"/>
            <w:vAlign w:val="center"/>
            <w:hideMark/>
          </w:tcPr>
          <w:p w14:paraId="5AD475F6" w14:textId="40F7970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Clean Hydrogen Production Tax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t xml:space="preserve">Tax credit </w:t>
            </w:r>
            <w:proofErr w:type="gramStart"/>
            <w:r w:rsidRPr="00222C65">
              <w:rPr>
                <w:rFonts w:ascii="Calibri" w:eastAsia="Times New Roman" w:hAnsi="Calibri" w:cs="Calibri"/>
                <w:color w:val="000000"/>
                <w:sz w:val="13"/>
                <w:szCs w:val="13"/>
              </w:rPr>
              <w:t>for the production of</w:t>
            </w:r>
            <w:proofErr w:type="gramEnd"/>
            <w:r w:rsidRPr="00222C65">
              <w:rPr>
                <w:rFonts w:ascii="Calibri" w:eastAsia="Times New Roman" w:hAnsi="Calibri" w:cs="Calibri"/>
                <w:color w:val="000000"/>
                <w:sz w:val="13"/>
                <w:szCs w:val="13"/>
              </w:rPr>
              <w:t xml:space="preserve"> clean hydrogen at a qualified clean hydrogen production facility</w:t>
            </w:r>
          </w:p>
        </w:tc>
        <w:tc>
          <w:tcPr>
            <w:tcW w:w="3241" w:type="dxa"/>
            <w:tcBorders>
              <w:top w:val="nil"/>
              <w:left w:val="nil"/>
              <w:bottom w:val="single" w:sz="4" w:space="0" w:color="000000"/>
              <w:right w:val="single" w:sz="4" w:space="0" w:color="000000"/>
            </w:tcBorders>
            <w:shd w:val="clear" w:color="000000" w:fill="FFFFFF"/>
            <w:vAlign w:val="center"/>
            <w:hideMark/>
          </w:tcPr>
          <w:p w14:paraId="23BE3D3A" w14:textId="77777777" w:rsidR="003049E0" w:rsidRPr="00882E9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The base credit is $0.60/kg (adjusted for inflation) multiplied by the applicable percentage (20% to 100% depending on lifecycle greenhouse gas emissions)</w:t>
            </w:r>
          </w:p>
          <w:p w14:paraId="543FB243" w14:textId="77777777" w:rsidR="003049E0" w:rsidRPr="00222C65" w:rsidRDefault="003049E0" w:rsidP="004A527E">
            <w:pPr>
              <w:rPr>
                <w:rFonts w:ascii="Calibri" w:eastAsia="Times New Roman" w:hAnsi="Calibri" w:cs="Calibri"/>
                <w:color w:val="000000"/>
                <w:sz w:val="13"/>
                <w:szCs w:val="13"/>
              </w:rPr>
            </w:pPr>
            <w:r w:rsidRPr="00882E95">
              <w:rPr>
                <w:rFonts w:ascii="Calibri" w:eastAsia="Times New Roman" w:hAnsi="Calibri" w:cs="Calibri"/>
                <w:color w:val="000000"/>
                <w:sz w:val="13"/>
                <w:szCs w:val="13"/>
              </w:rPr>
              <w:t xml:space="preserve"> </w:t>
            </w:r>
            <w:r w:rsidRPr="00222C65">
              <w:rPr>
                <w:rFonts w:ascii="Calibri" w:eastAsia="Times New Roman" w:hAnsi="Calibri" w:cs="Calibri"/>
                <w:color w:val="000000"/>
                <w:sz w:val="13"/>
                <w:szCs w:val="13"/>
              </w:rPr>
              <w:br/>
              <w:t>For hydrogen produced after 12/31/22 (for facilities placed in service before 1/1/33 for their first 10 years in service</w:t>
            </w:r>
          </w:p>
        </w:tc>
        <w:tc>
          <w:tcPr>
            <w:tcW w:w="982" w:type="dxa"/>
            <w:tcBorders>
              <w:top w:val="nil"/>
              <w:left w:val="nil"/>
              <w:bottom w:val="single" w:sz="4" w:space="0" w:color="000000"/>
              <w:right w:val="single" w:sz="4" w:space="0" w:color="000000"/>
            </w:tcBorders>
            <w:shd w:val="clear" w:color="000000" w:fill="FFFFFF"/>
            <w:vAlign w:val="center"/>
            <w:hideMark/>
          </w:tcPr>
          <w:p w14:paraId="2AA6862A"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62" w:type="dxa"/>
            <w:tcBorders>
              <w:top w:val="nil"/>
              <w:left w:val="nil"/>
              <w:bottom w:val="single" w:sz="4" w:space="0" w:color="000000"/>
              <w:right w:val="single" w:sz="4" w:space="0" w:color="000000"/>
            </w:tcBorders>
            <w:shd w:val="clear" w:color="000000" w:fill="FFFFFF"/>
            <w:vAlign w:val="center"/>
            <w:hideMark/>
          </w:tcPr>
          <w:p w14:paraId="5175BA38"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16" w:type="dxa"/>
            <w:tcBorders>
              <w:top w:val="nil"/>
              <w:left w:val="nil"/>
              <w:bottom w:val="single" w:sz="4" w:space="0" w:color="000000"/>
              <w:right w:val="single" w:sz="4" w:space="0" w:color="000000"/>
            </w:tcBorders>
            <w:shd w:val="clear" w:color="000000" w:fill="FFFFFF"/>
            <w:vAlign w:val="center"/>
            <w:hideMark/>
          </w:tcPr>
          <w:p w14:paraId="2C75E2B1"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r w:rsidR="003049E0" w:rsidRPr="00222C65" w14:paraId="5EC3120C" w14:textId="77777777" w:rsidTr="00882E95">
        <w:trPr>
          <w:trHeight w:val="980"/>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5D08DFC5"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Domestic Manufacturers</w:t>
            </w:r>
          </w:p>
        </w:tc>
        <w:tc>
          <w:tcPr>
            <w:tcW w:w="2519" w:type="dxa"/>
            <w:tcBorders>
              <w:top w:val="nil"/>
              <w:left w:val="nil"/>
              <w:bottom w:val="single" w:sz="4" w:space="0" w:color="000000"/>
              <w:right w:val="single" w:sz="4" w:space="0" w:color="000000"/>
            </w:tcBorders>
            <w:shd w:val="clear" w:color="000000" w:fill="FFFFFF"/>
            <w:vAlign w:val="center"/>
            <w:hideMark/>
          </w:tcPr>
          <w:p w14:paraId="387D669A" w14:textId="00DC8DEF"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Advanced Manufacturing Production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br/>
              <w:t xml:space="preserve">Production tax credit for </w:t>
            </w:r>
            <w:r w:rsidRPr="00882E95">
              <w:rPr>
                <w:rFonts w:ascii="Calibri" w:eastAsia="Times New Roman" w:hAnsi="Calibri" w:cs="Calibri"/>
                <w:color w:val="000000"/>
                <w:sz w:val="13"/>
                <w:szCs w:val="13"/>
              </w:rPr>
              <w:t>manufacturers</w:t>
            </w:r>
            <w:r w:rsidRPr="00222C65">
              <w:rPr>
                <w:rFonts w:ascii="Calibri" w:eastAsia="Times New Roman" w:hAnsi="Calibri" w:cs="Calibri"/>
                <w:color w:val="000000"/>
                <w:sz w:val="13"/>
                <w:szCs w:val="13"/>
              </w:rPr>
              <w:t xml:space="preserve"> of components for solar and wind energy, inverters, battery components, and critical minerals</w:t>
            </w:r>
          </w:p>
        </w:tc>
        <w:tc>
          <w:tcPr>
            <w:tcW w:w="3241" w:type="dxa"/>
            <w:tcBorders>
              <w:top w:val="nil"/>
              <w:left w:val="nil"/>
              <w:bottom w:val="single" w:sz="4" w:space="0" w:color="000000"/>
              <w:right w:val="single" w:sz="4" w:space="0" w:color="000000"/>
            </w:tcBorders>
            <w:shd w:val="clear" w:color="000000" w:fill="FFFFFF"/>
            <w:vAlign w:val="center"/>
            <w:hideMark/>
          </w:tcPr>
          <w:p w14:paraId="3DD5FA36"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Credit varies by technology</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Credit for critical minerals is permanent starting in 2023. For other items, the full credit is available between 2023-2029 and phases down over 2030-2032</w:t>
            </w:r>
          </w:p>
        </w:tc>
        <w:tc>
          <w:tcPr>
            <w:tcW w:w="982" w:type="dxa"/>
            <w:tcBorders>
              <w:top w:val="nil"/>
              <w:left w:val="nil"/>
              <w:bottom w:val="single" w:sz="4" w:space="0" w:color="000000"/>
              <w:right w:val="single" w:sz="4" w:space="0" w:color="000000"/>
            </w:tcBorders>
            <w:shd w:val="clear" w:color="000000" w:fill="FFFFFF"/>
            <w:vAlign w:val="center"/>
            <w:hideMark/>
          </w:tcPr>
          <w:p w14:paraId="54ECC268"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62" w:type="dxa"/>
            <w:tcBorders>
              <w:top w:val="nil"/>
              <w:left w:val="nil"/>
              <w:bottom w:val="single" w:sz="4" w:space="0" w:color="000000"/>
              <w:right w:val="single" w:sz="4" w:space="0" w:color="000000"/>
            </w:tcBorders>
            <w:shd w:val="clear" w:color="000000" w:fill="FFFFFF"/>
            <w:vAlign w:val="center"/>
            <w:hideMark/>
          </w:tcPr>
          <w:p w14:paraId="19EAF2FD"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Only Domestic Manufacturers are eligible; No additional bonus credit</w:t>
            </w:r>
          </w:p>
        </w:tc>
        <w:tc>
          <w:tcPr>
            <w:tcW w:w="1016" w:type="dxa"/>
            <w:tcBorders>
              <w:top w:val="nil"/>
              <w:left w:val="nil"/>
              <w:bottom w:val="single" w:sz="4" w:space="0" w:color="000000"/>
              <w:right w:val="single" w:sz="4" w:space="0" w:color="000000"/>
            </w:tcBorders>
            <w:shd w:val="clear" w:color="000000" w:fill="FFFFFF"/>
            <w:vAlign w:val="center"/>
            <w:hideMark/>
          </w:tcPr>
          <w:p w14:paraId="65789A44"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r>
      <w:tr w:rsidR="003049E0" w:rsidRPr="00222C65" w14:paraId="7E3CF6F0" w14:textId="77777777" w:rsidTr="00882E95">
        <w:trPr>
          <w:trHeight w:val="989"/>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7C982D0C"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Nuclear</w:t>
            </w:r>
          </w:p>
        </w:tc>
        <w:tc>
          <w:tcPr>
            <w:tcW w:w="2519" w:type="dxa"/>
            <w:tcBorders>
              <w:top w:val="nil"/>
              <w:left w:val="nil"/>
              <w:bottom w:val="single" w:sz="4" w:space="0" w:color="000000"/>
              <w:right w:val="single" w:sz="4" w:space="0" w:color="000000"/>
            </w:tcBorders>
            <w:shd w:val="clear" w:color="000000" w:fill="FFFFFF"/>
            <w:vAlign w:val="center"/>
            <w:hideMark/>
          </w:tcPr>
          <w:p w14:paraId="75052BA1" w14:textId="34800728"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Nuclear Power Production Tax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br/>
              <w:t>Tax credit for electricity produced at a qualified nuclear power facility</w:t>
            </w:r>
          </w:p>
        </w:tc>
        <w:tc>
          <w:tcPr>
            <w:tcW w:w="3241" w:type="dxa"/>
            <w:tcBorders>
              <w:top w:val="nil"/>
              <w:left w:val="nil"/>
              <w:bottom w:val="nil"/>
              <w:right w:val="single" w:sz="4" w:space="0" w:color="000000"/>
            </w:tcBorders>
            <w:shd w:val="clear" w:color="000000" w:fill="FFFFFF"/>
            <w:vAlign w:val="center"/>
            <w:hideMark/>
          </w:tcPr>
          <w:p w14:paraId="6267AC82" w14:textId="1A49CB0F"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Credit is 0.3 cents/kWh, inflation adjusted</w:t>
            </w:r>
            <w:r w:rsidRPr="00882E95">
              <w:rPr>
                <w:rFonts w:ascii="Calibri" w:eastAsia="Times New Roman" w:hAnsi="Calibri" w:cs="Calibri"/>
                <w:color w:val="000000"/>
                <w:sz w:val="13"/>
                <w:szCs w:val="13"/>
              </w:rPr>
              <w:t>.</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For electricity produced at a qualified nuclear power facility; produced and sold 1/1/24-12/31/32; down depending on the amount of energy produced and the gross receipts of the nuclear power facility</w:t>
            </w:r>
          </w:p>
        </w:tc>
        <w:tc>
          <w:tcPr>
            <w:tcW w:w="982" w:type="dxa"/>
            <w:tcBorders>
              <w:top w:val="nil"/>
              <w:left w:val="nil"/>
              <w:bottom w:val="nil"/>
              <w:right w:val="single" w:sz="4" w:space="0" w:color="000000"/>
            </w:tcBorders>
            <w:shd w:val="clear" w:color="000000" w:fill="FFFFFF"/>
            <w:vAlign w:val="center"/>
            <w:hideMark/>
          </w:tcPr>
          <w:p w14:paraId="3E51DC28"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62" w:type="dxa"/>
            <w:tcBorders>
              <w:top w:val="nil"/>
              <w:left w:val="nil"/>
              <w:bottom w:val="nil"/>
              <w:right w:val="single" w:sz="4" w:space="0" w:color="000000"/>
            </w:tcBorders>
            <w:shd w:val="clear" w:color="000000" w:fill="FFFFFF"/>
            <w:vAlign w:val="center"/>
            <w:hideMark/>
          </w:tcPr>
          <w:p w14:paraId="6577B7B5"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16" w:type="dxa"/>
            <w:tcBorders>
              <w:top w:val="nil"/>
              <w:left w:val="nil"/>
              <w:bottom w:val="single" w:sz="4" w:space="0" w:color="000000"/>
              <w:right w:val="single" w:sz="4" w:space="0" w:color="000000"/>
            </w:tcBorders>
            <w:shd w:val="clear" w:color="000000" w:fill="FFFFFF"/>
            <w:vAlign w:val="center"/>
            <w:hideMark/>
          </w:tcPr>
          <w:p w14:paraId="3CCF780A"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r w:rsidR="003049E0" w:rsidRPr="00222C65" w14:paraId="50D2E5B3" w14:textId="77777777" w:rsidTr="00882E95">
        <w:trPr>
          <w:trHeight w:val="944"/>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03DA5731" w14:textId="7DB6DF08"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Biomass, Geothermal, Hydrokinetic, Landfill and Waste, Hydropower</w:t>
            </w:r>
            <w:r>
              <w:rPr>
                <w:rFonts w:ascii="Calibri" w:eastAsia="Times New Roman" w:hAnsi="Calibri" w:cs="Calibri"/>
                <w:color w:val="000000"/>
                <w:sz w:val="14"/>
                <w:szCs w:val="14"/>
              </w:rPr>
              <w:t xml:space="preserve">, </w:t>
            </w:r>
            <w:r w:rsidRPr="00222C65">
              <w:rPr>
                <w:rFonts w:ascii="Calibri" w:eastAsia="Times New Roman" w:hAnsi="Calibri" w:cs="Calibri"/>
                <w:color w:val="000000"/>
                <w:sz w:val="14"/>
                <w:szCs w:val="14"/>
              </w:rPr>
              <w:t>Marine, Small Irrigation, Solar, Wind</w:t>
            </w:r>
          </w:p>
        </w:tc>
        <w:tc>
          <w:tcPr>
            <w:tcW w:w="2519" w:type="dxa"/>
            <w:tcBorders>
              <w:top w:val="nil"/>
              <w:left w:val="nil"/>
              <w:bottom w:val="single" w:sz="4" w:space="0" w:color="000000"/>
              <w:right w:val="nil"/>
            </w:tcBorders>
            <w:shd w:val="clear" w:color="000000" w:fill="FFFFFF"/>
            <w:vAlign w:val="center"/>
            <w:hideMark/>
          </w:tcPr>
          <w:p w14:paraId="6A4FABF8" w14:textId="67BE492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Production Tax Credit for Electricity from Renewables</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t>Tax credit for production of electricity from renewables</w:t>
            </w:r>
          </w:p>
        </w:tc>
        <w:tc>
          <w:tcPr>
            <w:tcW w:w="3241"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14:paraId="0D8539A4"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Credit is 0.3 cents/kW, inflation adjusted</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Construction must start before 1/1/25</w:t>
            </w:r>
          </w:p>
        </w:tc>
        <w:tc>
          <w:tcPr>
            <w:tcW w:w="982" w:type="dxa"/>
            <w:tcBorders>
              <w:top w:val="single" w:sz="4" w:space="0" w:color="auto"/>
              <w:left w:val="nil"/>
              <w:bottom w:val="single" w:sz="4" w:space="0" w:color="auto"/>
              <w:right w:val="nil"/>
            </w:tcBorders>
            <w:shd w:val="clear" w:color="auto" w:fill="auto"/>
            <w:vAlign w:val="center"/>
            <w:hideMark/>
          </w:tcPr>
          <w:p w14:paraId="4B00F54F"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c>
          <w:tcPr>
            <w:tcW w:w="10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CFC265"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Yes</w:t>
            </w:r>
          </w:p>
        </w:tc>
        <w:tc>
          <w:tcPr>
            <w:tcW w:w="1016" w:type="dxa"/>
            <w:tcBorders>
              <w:top w:val="nil"/>
              <w:left w:val="nil"/>
              <w:bottom w:val="single" w:sz="4" w:space="0" w:color="000000"/>
              <w:right w:val="single" w:sz="4" w:space="0" w:color="000000"/>
            </w:tcBorders>
            <w:shd w:val="clear" w:color="000000" w:fill="FFFFFF"/>
            <w:vAlign w:val="center"/>
            <w:hideMark/>
          </w:tcPr>
          <w:p w14:paraId="03618FB6"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r w:rsidR="003049E0" w:rsidRPr="00222C65" w14:paraId="3C9E5906" w14:textId="77777777" w:rsidTr="00882E95">
        <w:trPr>
          <w:trHeight w:val="1250"/>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45C2E0CA"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Zero GHG Electricity Generators</w:t>
            </w:r>
          </w:p>
        </w:tc>
        <w:tc>
          <w:tcPr>
            <w:tcW w:w="2519" w:type="dxa"/>
            <w:tcBorders>
              <w:top w:val="nil"/>
              <w:left w:val="nil"/>
              <w:bottom w:val="single" w:sz="4" w:space="0" w:color="000000"/>
              <w:right w:val="single" w:sz="4" w:space="0" w:color="000000"/>
            </w:tcBorders>
            <w:shd w:val="clear" w:color="000000" w:fill="FFFFFF"/>
            <w:vAlign w:val="center"/>
            <w:hideMark/>
          </w:tcPr>
          <w:p w14:paraId="60367A46" w14:textId="2D2AD5A8"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Clean Electricity Production Tax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br/>
              <w:t>Technology-neutral tax credit for production of clean electricity. Replaces the production tax credit for electricity generated from renewable sources (extended in Section 13101 through 2024)</w:t>
            </w:r>
          </w:p>
        </w:tc>
        <w:tc>
          <w:tcPr>
            <w:tcW w:w="3241" w:type="dxa"/>
            <w:tcBorders>
              <w:top w:val="nil"/>
              <w:left w:val="nil"/>
              <w:bottom w:val="single" w:sz="4" w:space="0" w:color="000000"/>
              <w:right w:val="single" w:sz="4" w:space="0" w:color="000000"/>
            </w:tcBorders>
            <w:shd w:val="clear" w:color="000000" w:fill="FFFFFF"/>
            <w:vAlign w:val="center"/>
            <w:hideMark/>
          </w:tcPr>
          <w:p w14:paraId="24FDC7EB"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Credit amount is 0.3 cents/kW, inflation adjusted</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Facilities placed in service after 12/31/24. Phase-out starts the later of (a) 2032 or (b) when U.S. greenhouse gas emissions from electricity are 25% of 2022 emissions or lower.</w:t>
            </w:r>
          </w:p>
        </w:tc>
        <w:tc>
          <w:tcPr>
            <w:tcW w:w="982" w:type="dxa"/>
            <w:tcBorders>
              <w:top w:val="nil"/>
              <w:left w:val="nil"/>
              <w:bottom w:val="nil"/>
              <w:right w:val="single" w:sz="4" w:space="0" w:color="000000"/>
            </w:tcBorders>
            <w:shd w:val="clear" w:color="000000" w:fill="FFFFFF"/>
            <w:vAlign w:val="center"/>
            <w:hideMark/>
          </w:tcPr>
          <w:p w14:paraId="36EB38D8"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Yes</w:t>
            </w:r>
          </w:p>
        </w:tc>
        <w:tc>
          <w:tcPr>
            <w:tcW w:w="1062" w:type="dxa"/>
            <w:tcBorders>
              <w:top w:val="nil"/>
              <w:left w:val="nil"/>
              <w:bottom w:val="single" w:sz="4" w:space="0" w:color="auto"/>
              <w:right w:val="single" w:sz="4" w:space="0" w:color="auto"/>
            </w:tcBorders>
            <w:shd w:val="clear" w:color="auto" w:fill="auto"/>
            <w:vAlign w:val="center"/>
            <w:hideMark/>
          </w:tcPr>
          <w:p w14:paraId="78F09254"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Yes</w:t>
            </w:r>
          </w:p>
        </w:tc>
        <w:tc>
          <w:tcPr>
            <w:tcW w:w="1016" w:type="dxa"/>
            <w:tcBorders>
              <w:top w:val="nil"/>
              <w:left w:val="nil"/>
              <w:bottom w:val="single" w:sz="4" w:space="0" w:color="000000"/>
              <w:right w:val="single" w:sz="4" w:space="0" w:color="000000"/>
            </w:tcBorders>
            <w:shd w:val="clear" w:color="000000" w:fill="FFFFFF"/>
            <w:vAlign w:val="center"/>
            <w:hideMark/>
          </w:tcPr>
          <w:p w14:paraId="402A94E1"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r w:rsidR="003049E0" w:rsidRPr="00222C65" w14:paraId="6167090C" w14:textId="77777777" w:rsidTr="00882E95">
        <w:trPr>
          <w:trHeight w:val="206"/>
        </w:trPr>
        <w:tc>
          <w:tcPr>
            <w:tcW w:w="10440" w:type="dxa"/>
            <w:gridSpan w:val="6"/>
            <w:tcBorders>
              <w:top w:val="single" w:sz="4" w:space="0" w:color="000000"/>
              <w:left w:val="single" w:sz="4" w:space="0" w:color="000000"/>
              <w:bottom w:val="single" w:sz="4" w:space="0" w:color="000000"/>
              <w:right w:val="single" w:sz="4" w:space="0" w:color="000000"/>
            </w:tcBorders>
            <w:shd w:val="clear" w:color="000000" w:fill="4472C4"/>
            <w:vAlign w:val="center"/>
            <w:hideMark/>
          </w:tcPr>
          <w:p w14:paraId="21CA1A7E" w14:textId="72EDB823" w:rsidR="003049E0" w:rsidRPr="00222C65" w:rsidRDefault="003049E0" w:rsidP="004A527E">
            <w:pPr>
              <w:jc w:val="center"/>
              <w:rPr>
                <w:rFonts w:ascii="Calibri" w:eastAsia="Times New Roman" w:hAnsi="Calibri" w:cs="Calibri"/>
                <w:b/>
                <w:bCs/>
                <w:color w:val="FFFFFF"/>
                <w:sz w:val="14"/>
                <w:szCs w:val="14"/>
              </w:rPr>
            </w:pPr>
            <w:r w:rsidRPr="00222C65">
              <w:rPr>
                <w:rFonts w:ascii="Calibri" w:eastAsia="Times New Roman" w:hAnsi="Calibri" w:cs="Calibri"/>
                <w:b/>
                <w:bCs/>
                <w:color w:val="FFFFFF"/>
                <w:sz w:val="14"/>
                <w:szCs w:val="14"/>
              </w:rPr>
              <w:t xml:space="preserve">CLEAN ENERGY TAX CREDITS: INVESTMENT TAX CREDITS </w:t>
            </w:r>
            <w:r w:rsidRPr="00222C65">
              <w:rPr>
                <w:rFonts w:ascii="Calibri" w:eastAsia="Times New Roman" w:hAnsi="Calibri" w:cs="Calibri"/>
                <w:b/>
                <w:bCs/>
                <w:color w:val="FFFFFF"/>
                <w:sz w:val="14"/>
                <w:szCs w:val="14"/>
                <w:u w:val="single"/>
              </w:rPr>
              <w:t>(TRANSFERABLE)</w:t>
            </w:r>
          </w:p>
        </w:tc>
      </w:tr>
      <w:tr w:rsidR="003049E0" w:rsidRPr="00222C65" w14:paraId="0C18BBD0" w14:textId="77777777" w:rsidTr="00882E95">
        <w:trPr>
          <w:trHeight w:val="1826"/>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48D2F0D1"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Wind and Solar </w:t>
            </w:r>
          </w:p>
        </w:tc>
        <w:tc>
          <w:tcPr>
            <w:tcW w:w="2519" w:type="dxa"/>
            <w:tcBorders>
              <w:top w:val="nil"/>
              <w:left w:val="nil"/>
              <w:bottom w:val="single" w:sz="4" w:space="0" w:color="000000"/>
              <w:right w:val="single" w:sz="4" w:space="0" w:color="000000"/>
            </w:tcBorders>
            <w:shd w:val="clear" w:color="000000" w:fill="FFFFFF"/>
            <w:vAlign w:val="center"/>
            <w:hideMark/>
          </w:tcPr>
          <w:p w14:paraId="5F6D6B80" w14:textId="1C73E4ED"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EXT</w:t>
            </w:r>
            <w:r w:rsidRPr="00882E95">
              <w:rPr>
                <w:rFonts w:ascii="Calibri" w:eastAsia="Times New Roman" w:hAnsi="Calibri" w:cs="Calibri"/>
                <w:color w:val="000000"/>
                <w:sz w:val="13"/>
                <w:szCs w:val="13"/>
              </w:rPr>
              <w:t xml:space="preserve">. </w:t>
            </w:r>
            <w:r w:rsidRPr="00222C65">
              <w:rPr>
                <w:rFonts w:ascii="Calibri" w:eastAsia="Times New Roman" w:hAnsi="Calibri" w:cs="Calibri"/>
                <w:b/>
                <w:bCs/>
                <w:color w:val="000000"/>
                <w:sz w:val="13"/>
                <w:szCs w:val="13"/>
              </w:rPr>
              <w:t>Energy Investment Tax Credit (48) in Connection with Low Income Communities</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br/>
              <w:t xml:space="preserve">Additional investment tax credit for small-scale solar and wind facilities in low-income communities; allocated investment credit, capped at 1.8 GW per year (unused capacity carries over to following year); for solar and wind facilities with a maximum net output of less than 5 MW, including associated energy storage technology; </w:t>
            </w:r>
          </w:p>
        </w:tc>
        <w:tc>
          <w:tcPr>
            <w:tcW w:w="3241" w:type="dxa"/>
            <w:tcBorders>
              <w:top w:val="nil"/>
              <w:left w:val="nil"/>
              <w:bottom w:val="nil"/>
              <w:right w:val="single" w:sz="4" w:space="0" w:color="000000"/>
            </w:tcBorders>
            <w:shd w:val="clear" w:color="000000" w:fill="FFFFFF"/>
            <w:vAlign w:val="center"/>
            <w:hideMark/>
          </w:tcPr>
          <w:p w14:paraId="03C1E4B8"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 xml:space="preserve">Credit is 6% of qualified investment </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The Low-Income Communities Bonus Credit begins in 2023 and is available through 2032 or the year annual GHG emissions from electricity production in the U.S. are equal to or less than 25% of 2022 levels, whichever is later. The bonus requires an application by the taxpayer, with a cumulative total of 1.8 GW of direct current capacity per year available for allocation</w:t>
            </w:r>
          </w:p>
        </w:tc>
        <w:tc>
          <w:tcPr>
            <w:tcW w:w="982" w:type="dxa"/>
            <w:tcBorders>
              <w:top w:val="nil"/>
              <w:left w:val="nil"/>
              <w:bottom w:val="single" w:sz="4" w:space="0" w:color="000000"/>
              <w:right w:val="single" w:sz="4" w:space="0" w:color="000000"/>
            </w:tcBorders>
            <w:shd w:val="clear" w:color="000000" w:fill="FFFFFF"/>
            <w:vAlign w:val="center"/>
            <w:hideMark/>
          </w:tcPr>
          <w:p w14:paraId="40702ACE"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62" w:type="dxa"/>
            <w:tcBorders>
              <w:top w:val="nil"/>
              <w:left w:val="nil"/>
              <w:bottom w:val="single" w:sz="4" w:space="0" w:color="000000"/>
              <w:right w:val="single" w:sz="4" w:space="0" w:color="000000"/>
            </w:tcBorders>
            <w:shd w:val="clear" w:color="000000" w:fill="FFFFFF"/>
            <w:vAlign w:val="center"/>
            <w:hideMark/>
          </w:tcPr>
          <w:p w14:paraId="2A26F103"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16" w:type="dxa"/>
            <w:tcBorders>
              <w:top w:val="nil"/>
              <w:left w:val="nil"/>
              <w:bottom w:val="single" w:sz="4" w:space="0" w:color="000000"/>
              <w:right w:val="single" w:sz="4" w:space="0" w:color="000000"/>
            </w:tcBorders>
            <w:shd w:val="clear" w:color="000000" w:fill="FFFFFF"/>
            <w:vAlign w:val="center"/>
            <w:hideMark/>
          </w:tcPr>
          <w:p w14:paraId="32F8C134"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r>
      <w:tr w:rsidR="003049E0" w:rsidRPr="00222C65" w14:paraId="226A69D3" w14:textId="77777777" w:rsidTr="00882E95">
        <w:trPr>
          <w:cantSplit/>
          <w:trHeight w:val="1440"/>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2BE9DED3"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Energy Storage, Zero GHG Electricity Generators</w:t>
            </w:r>
          </w:p>
        </w:tc>
        <w:tc>
          <w:tcPr>
            <w:tcW w:w="2519" w:type="dxa"/>
            <w:tcBorders>
              <w:top w:val="nil"/>
              <w:left w:val="nil"/>
              <w:bottom w:val="single" w:sz="4" w:space="0" w:color="000000"/>
              <w:right w:val="single" w:sz="4" w:space="0" w:color="000000"/>
            </w:tcBorders>
            <w:shd w:val="clear" w:color="000000" w:fill="FFFFFF"/>
            <w:vAlign w:val="center"/>
            <w:hideMark/>
          </w:tcPr>
          <w:p w14:paraId="46160A56" w14:textId="2ECFC7E2"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Clean Electricity Investment Tax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br/>
              <w:t>Technology-neutral tax credit for investment in facilities that generate clean electricity. Replaces the investment tax credit for facilities generating electricity from renewable sources (extended in Section 13102 through 2024).</w:t>
            </w:r>
          </w:p>
        </w:tc>
        <w:tc>
          <w:tcPr>
            <w:tcW w:w="3241" w:type="dxa"/>
            <w:tcBorders>
              <w:top w:val="single" w:sz="4" w:space="0" w:color="auto"/>
              <w:left w:val="nil"/>
              <w:bottom w:val="single" w:sz="4" w:space="0" w:color="auto"/>
              <w:right w:val="single" w:sz="4" w:space="0" w:color="auto"/>
            </w:tcBorders>
            <w:shd w:val="clear" w:color="auto" w:fill="auto"/>
            <w:vAlign w:val="center"/>
            <w:hideMark/>
          </w:tcPr>
          <w:p w14:paraId="56975C3C"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 xml:space="preserve"> Credit is 6% of qualified investment </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For facilities placed in service after 12/31/24. Phase-out starts the later of (a) 2032 or (b) when U.S. greenhouse gas emissions from electricity are 25% of 2022 emissions or lower.</w:t>
            </w:r>
          </w:p>
        </w:tc>
        <w:tc>
          <w:tcPr>
            <w:tcW w:w="982" w:type="dxa"/>
            <w:tcBorders>
              <w:top w:val="nil"/>
              <w:left w:val="nil"/>
              <w:bottom w:val="single" w:sz="4" w:space="0" w:color="000000"/>
              <w:right w:val="single" w:sz="4" w:space="0" w:color="000000"/>
            </w:tcBorders>
            <w:shd w:val="clear" w:color="000000" w:fill="FFFFFF"/>
            <w:vAlign w:val="center"/>
            <w:hideMark/>
          </w:tcPr>
          <w:p w14:paraId="07BA3F38"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Yes</w:t>
            </w:r>
          </w:p>
        </w:tc>
        <w:tc>
          <w:tcPr>
            <w:tcW w:w="1062" w:type="dxa"/>
            <w:tcBorders>
              <w:top w:val="nil"/>
              <w:left w:val="nil"/>
              <w:bottom w:val="single" w:sz="4" w:space="0" w:color="000000"/>
              <w:right w:val="single" w:sz="4" w:space="0" w:color="000000"/>
            </w:tcBorders>
            <w:shd w:val="clear" w:color="000000" w:fill="FFFFFF"/>
            <w:vAlign w:val="center"/>
            <w:hideMark/>
          </w:tcPr>
          <w:p w14:paraId="0F17FD85"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c>
          <w:tcPr>
            <w:tcW w:w="1016" w:type="dxa"/>
            <w:tcBorders>
              <w:top w:val="nil"/>
              <w:left w:val="nil"/>
              <w:bottom w:val="single" w:sz="4" w:space="0" w:color="000000"/>
              <w:right w:val="single" w:sz="4" w:space="0" w:color="000000"/>
            </w:tcBorders>
            <w:shd w:val="clear" w:color="000000" w:fill="FFFFFF"/>
            <w:vAlign w:val="center"/>
            <w:hideMark/>
          </w:tcPr>
          <w:p w14:paraId="2665974F"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r w:rsidR="003049E0" w:rsidRPr="00222C65" w14:paraId="700E48A0" w14:textId="77777777" w:rsidTr="00882E95">
        <w:trPr>
          <w:trHeight w:val="2330"/>
        </w:trPr>
        <w:tc>
          <w:tcPr>
            <w:tcW w:w="1620" w:type="dxa"/>
            <w:tcBorders>
              <w:top w:val="nil"/>
              <w:left w:val="single" w:sz="4" w:space="0" w:color="000000"/>
              <w:bottom w:val="single" w:sz="4" w:space="0" w:color="000000"/>
              <w:right w:val="single" w:sz="4" w:space="0" w:color="000000"/>
            </w:tcBorders>
            <w:shd w:val="clear" w:color="000000" w:fill="FFFFFF"/>
            <w:vAlign w:val="center"/>
            <w:hideMark/>
          </w:tcPr>
          <w:p w14:paraId="676A7900"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Critical Minerals, Industrial Facility, Manufacturing Facility, Manufacturing Retrofit</w:t>
            </w:r>
          </w:p>
        </w:tc>
        <w:tc>
          <w:tcPr>
            <w:tcW w:w="2519" w:type="dxa"/>
            <w:tcBorders>
              <w:top w:val="nil"/>
              <w:left w:val="nil"/>
              <w:bottom w:val="single" w:sz="4" w:space="0" w:color="000000"/>
              <w:right w:val="single" w:sz="4" w:space="0" w:color="000000"/>
            </w:tcBorders>
            <w:shd w:val="clear" w:color="000000" w:fill="FFFFFF"/>
            <w:vAlign w:val="center"/>
            <w:hideMark/>
          </w:tcPr>
          <w:p w14:paraId="7AB0DB6C" w14:textId="6F55218C"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b/>
                <w:bCs/>
                <w:color w:val="000000"/>
                <w:sz w:val="13"/>
                <w:szCs w:val="13"/>
              </w:rPr>
              <w:t>Advanced Energy Project Credit</w:t>
            </w:r>
            <w:r w:rsidRPr="00882E95">
              <w:rPr>
                <w:rFonts w:ascii="Calibri" w:eastAsia="Times New Roman" w:hAnsi="Calibri" w:cs="Calibri"/>
                <w:b/>
                <w:bCs/>
                <w:color w:val="000000"/>
                <w:sz w:val="13"/>
                <w:szCs w:val="13"/>
              </w:rPr>
              <w:t xml:space="preserve">:  </w:t>
            </w:r>
            <w:r w:rsidRPr="00222C65">
              <w:rPr>
                <w:rFonts w:ascii="Calibri" w:eastAsia="Times New Roman" w:hAnsi="Calibri" w:cs="Calibri"/>
                <w:color w:val="000000"/>
                <w:sz w:val="13"/>
                <w:szCs w:val="13"/>
              </w:rPr>
              <w:t>Provides a tax credit for investments in advanced energy projects that (1) re-equips, expands, or establishes an industrial or manufacturing facility for the production or recycling of a range of clean energy equipment and vehicles; (2) re-equips an industrial or manufacturing facility with equipment designed to reduce greenhouse gas emissions by at least 20 percent; or (3) re-equips, expands, or establishes an industrial facility for the processing, refining, or recycling of critical materials.</w:t>
            </w:r>
          </w:p>
        </w:tc>
        <w:tc>
          <w:tcPr>
            <w:tcW w:w="3241" w:type="dxa"/>
            <w:tcBorders>
              <w:top w:val="nil"/>
              <w:left w:val="nil"/>
              <w:bottom w:val="single" w:sz="4" w:space="0" w:color="auto"/>
              <w:right w:val="single" w:sz="4" w:space="0" w:color="auto"/>
            </w:tcBorders>
            <w:shd w:val="clear" w:color="auto" w:fill="auto"/>
            <w:vAlign w:val="center"/>
            <w:hideMark/>
          </w:tcPr>
          <w:p w14:paraId="6DDECA0C" w14:textId="77777777" w:rsidR="003049E0" w:rsidRPr="00222C65" w:rsidRDefault="003049E0" w:rsidP="004A527E">
            <w:pPr>
              <w:rPr>
                <w:rFonts w:ascii="Calibri" w:eastAsia="Times New Roman" w:hAnsi="Calibri" w:cs="Calibri"/>
                <w:color w:val="000000"/>
                <w:sz w:val="13"/>
                <w:szCs w:val="13"/>
              </w:rPr>
            </w:pPr>
            <w:r w:rsidRPr="00222C65">
              <w:rPr>
                <w:rFonts w:ascii="Calibri" w:eastAsia="Times New Roman" w:hAnsi="Calibri" w:cs="Calibri"/>
                <w:color w:val="000000"/>
                <w:sz w:val="13"/>
                <w:szCs w:val="13"/>
              </w:rPr>
              <w:t xml:space="preserve"> Credit is 6% of qualified investment </w:t>
            </w:r>
            <w:r w:rsidRPr="00222C65">
              <w:rPr>
                <w:rFonts w:ascii="Calibri" w:eastAsia="Times New Roman" w:hAnsi="Calibri" w:cs="Calibri"/>
                <w:color w:val="000000"/>
                <w:sz w:val="13"/>
                <w:szCs w:val="13"/>
              </w:rPr>
              <w:br/>
            </w:r>
            <w:r w:rsidRPr="00222C65">
              <w:rPr>
                <w:rFonts w:ascii="Calibri" w:eastAsia="Times New Roman" w:hAnsi="Calibri" w:cs="Calibri"/>
                <w:color w:val="000000"/>
                <w:sz w:val="13"/>
                <w:szCs w:val="13"/>
              </w:rPr>
              <w:br/>
              <w:t>Competitive application process beginning on 5/31/</w:t>
            </w:r>
            <w:proofErr w:type="gramStart"/>
            <w:r w:rsidRPr="00222C65">
              <w:rPr>
                <w:rFonts w:ascii="Calibri" w:eastAsia="Times New Roman" w:hAnsi="Calibri" w:cs="Calibri"/>
                <w:color w:val="000000"/>
                <w:sz w:val="13"/>
                <w:szCs w:val="13"/>
              </w:rPr>
              <w:t>23;  DOE</w:t>
            </w:r>
            <w:proofErr w:type="gramEnd"/>
            <w:r w:rsidRPr="00222C65">
              <w:rPr>
                <w:rFonts w:ascii="Calibri" w:eastAsia="Times New Roman" w:hAnsi="Calibri" w:cs="Calibri"/>
                <w:color w:val="000000"/>
                <w:sz w:val="13"/>
                <w:szCs w:val="13"/>
              </w:rPr>
              <w:t xml:space="preserve"> will consider greatest job creation, greatest reduction in greenhouse gas emissions, shortest time to completion, greatest potential for innovation, geographic diversity, commercial viability and regional economic development potential when awarding credits</w:t>
            </w:r>
          </w:p>
        </w:tc>
        <w:tc>
          <w:tcPr>
            <w:tcW w:w="982" w:type="dxa"/>
            <w:tcBorders>
              <w:top w:val="nil"/>
              <w:left w:val="nil"/>
              <w:bottom w:val="single" w:sz="4" w:space="0" w:color="000000"/>
              <w:right w:val="single" w:sz="4" w:space="0" w:color="000000"/>
            </w:tcBorders>
            <w:shd w:val="clear" w:color="000000" w:fill="FFFFFF"/>
            <w:vAlign w:val="center"/>
            <w:hideMark/>
          </w:tcPr>
          <w:p w14:paraId="16FA2C77"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62" w:type="dxa"/>
            <w:tcBorders>
              <w:top w:val="nil"/>
              <w:left w:val="nil"/>
              <w:bottom w:val="single" w:sz="4" w:space="0" w:color="000000"/>
              <w:right w:val="single" w:sz="4" w:space="0" w:color="000000"/>
            </w:tcBorders>
            <w:shd w:val="clear" w:color="000000" w:fill="FFFFFF"/>
            <w:vAlign w:val="center"/>
            <w:hideMark/>
          </w:tcPr>
          <w:p w14:paraId="16889FAF"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No</w:t>
            </w:r>
          </w:p>
        </w:tc>
        <w:tc>
          <w:tcPr>
            <w:tcW w:w="1016" w:type="dxa"/>
            <w:tcBorders>
              <w:top w:val="nil"/>
              <w:left w:val="nil"/>
              <w:bottom w:val="single" w:sz="4" w:space="0" w:color="000000"/>
              <w:right w:val="single" w:sz="4" w:space="0" w:color="000000"/>
            </w:tcBorders>
            <w:shd w:val="clear" w:color="000000" w:fill="FFFFFF"/>
            <w:vAlign w:val="center"/>
            <w:hideMark/>
          </w:tcPr>
          <w:p w14:paraId="1262B6DF" w14:textId="77777777" w:rsidR="003049E0" w:rsidRPr="00222C65" w:rsidRDefault="003049E0" w:rsidP="004A527E">
            <w:pPr>
              <w:rPr>
                <w:rFonts w:ascii="Calibri" w:eastAsia="Times New Roman" w:hAnsi="Calibri" w:cs="Calibri"/>
                <w:color w:val="000000"/>
                <w:sz w:val="14"/>
                <w:szCs w:val="14"/>
              </w:rPr>
            </w:pPr>
            <w:r w:rsidRPr="00222C65">
              <w:rPr>
                <w:rFonts w:ascii="Calibri" w:eastAsia="Times New Roman" w:hAnsi="Calibri" w:cs="Calibri"/>
                <w:color w:val="000000"/>
                <w:sz w:val="14"/>
                <w:szCs w:val="14"/>
              </w:rPr>
              <w:t xml:space="preserve">Yes </w:t>
            </w:r>
          </w:p>
        </w:tc>
      </w:tr>
    </w:tbl>
    <w:p w14:paraId="1D734F86" w14:textId="1FB17DA8" w:rsidR="006D7D71" w:rsidRPr="005816D5" w:rsidRDefault="006D7D71" w:rsidP="00477013">
      <w:pPr>
        <w:rPr>
          <w:rFonts w:ascii="Avenir Next LT Pro" w:hAnsi="Avenir Next LT Pro"/>
          <w:color w:val="0F243E" w:themeColor="text2" w:themeShade="80"/>
          <w:sz w:val="19"/>
          <w:szCs w:val="19"/>
        </w:rPr>
      </w:pPr>
    </w:p>
    <w:sectPr w:rsidR="006D7D71" w:rsidRPr="005816D5" w:rsidSect="0060340D">
      <w:type w:val="continuous"/>
      <w:pgSz w:w="12240" w:h="15840"/>
      <w:pgMar w:top="1440" w:right="1800" w:bottom="1440" w:left="1800" w:header="720" w:footer="806"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AF7A72" w14:textId="77777777" w:rsidR="000B57F5" w:rsidRDefault="000B57F5">
      <w:r>
        <w:separator/>
      </w:r>
    </w:p>
  </w:endnote>
  <w:endnote w:type="continuationSeparator" w:id="0">
    <w:p w14:paraId="58FBBB49" w14:textId="77777777" w:rsidR="000B57F5" w:rsidRDefault="000B57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venir Book">
    <w:altName w:val="Corbel"/>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Avenir Next LT Pro">
    <w:charset w:val="00"/>
    <w:family w:val="swiss"/>
    <w:pitch w:val="variable"/>
    <w:sig w:usb0="800000EF" w:usb1="5000204A" w:usb2="00000000" w:usb3="00000000" w:csb0="00000093" w:csb1="00000000"/>
  </w:font>
  <w:font w:name="Avenir Heavy">
    <w:altName w:val="Trebuchet MS"/>
    <w:charset w:val="00"/>
    <w:family w:val="auto"/>
    <w:pitch w:val="variable"/>
    <w:sig w:usb0="00000003" w:usb1="00000000" w:usb2="00000000" w:usb3="00000000" w:csb0="00000001" w:csb1="00000000"/>
  </w:font>
  <w:font w:name="Avenir Light">
    <w:altName w:val="Century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46B07" w14:textId="77777777" w:rsidR="00AD7435" w:rsidRDefault="00AD7435" w:rsidP="00746C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EBAD0C6" w14:textId="77777777" w:rsidR="00AD7435" w:rsidRDefault="00AD7435" w:rsidP="00BC63A5">
    <w:pPr>
      <w:pStyle w:val="Footer"/>
      <w:ind w:right="360"/>
    </w:pPr>
  </w:p>
  <w:p w14:paraId="0B1EDD73" w14:textId="77777777" w:rsidR="005C2744" w:rsidRDefault="005C274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FC034" w14:textId="77777777" w:rsidR="00AD7435" w:rsidRDefault="00AD7435" w:rsidP="00BC63A5">
    <w:pPr>
      <w:pStyle w:val="Footer"/>
      <w:rPr>
        <w:rFonts w:ascii="Avenir Light" w:hAnsi="Avenir Light"/>
        <w:b/>
        <w:color w:val="1F497D" w:themeColor="text2"/>
        <w:sz w:val="14"/>
      </w:rPr>
    </w:pPr>
    <w:r>
      <w:rPr>
        <w:noProof/>
      </w:rPr>
      <mc:AlternateContent>
        <mc:Choice Requires="wps">
          <w:drawing>
            <wp:anchor distT="0" distB="0" distL="114300" distR="114300" simplePos="0" relativeHeight="251661312" behindDoc="0" locked="0" layoutInCell="1" allowOverlap="1" wp14:anchorId="63B5AF3A" wp14:editId="4C1024E1">
              <wp:simplePos x="0" y="0"/>
              <wp:positionH relativeFrom="column">
                <wp:posOffset>-405765</wp:posOffset>
              </wp:positionH>
              <wp:positionV relativeFrom="paragraph">
                <wp:posOffset>-118110</wp:posOffset>
              </wp:positionV>
              <wp:extent cx="6515100" cy="0"/>
              <wp:effectExtent l="13335" t="5715" r="5715" b="13335"/>
              <wp:wrapNone/>
              <wp:docPr id="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3D8C76" id="Line 7"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3pt" to="481.0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" strokecolor="#c4bc96 [2414]" strokeweight=".5pt">
              <v:shadow opacity="22938f" offset="0"/>
            </v:line>
          </w:pict>
        </mc:Fallback>
      </mc:AlternateContent>
    </w:r>
    <w:r>
      <w:rPr>
        <w:noProof/>
      </w:rPr>
      <w:drawing>
        <wp:anchor distT="0" distB="0" distL="114300" distR="114300" simplePos="0" relativeHeight="251662336" behindDoc="1" locked="0" layoutInCell="1" allowOverlap="1" wp14:anchorId="2263994B" wp14:editId="61FC85A5">
          <wp:simplePos x="0" y="0"/>
          <wp:positionH relativeFrom="column">
            <wp:posOffset>-406400</wp:posOffset>
          </wp:positionH>
          <wp:positionV relativeFrom="paragraph">
            <wp:posOffset>-16087</wp:posOffset>
          </wp:positionV>
          <wp:extent cx="330200" cy="313267"/>
          <wp:effectExtent l="25400" t="0" r="0" b="0"/>
          <wp:wrapNone/>
          <wp:docPr id="95540127" name="Picture 95540127" descr="BL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S.blue.jpg"/>
                  <pic:cNvPicPr>
                    <a:picLocks noChangeAspect="1" noChangeArrowheads="1"/>
                  </pic:cNvPicPr>
                </pic:nvPicPr>
                <pic:blipFill>
                  <a:blip r:embed="rId1"/>
                  <a:srcRect/>
                  <a:stretch>
                    <a:fillRect/>
                  </a:stretch>
                </pic:blipFill>
                <pic:spPr bwMode="auto">
                  <a:xfrm>
                    <a:off x="0" y="0"/>
                    <a:ext cx="330200" cy="313267"/>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60288" behindDoc="0" locked="0" layoutInCell="1" allowOverlap="1" wp14:anchorId="2F9FFC02" wp14:editId="2793B63D">
              <wp:simplePos x="0" y="0"/>
              <wp:positionH relativeFrom="column">
                <wp:posOffset>-405765</wp:posOffset>
              </wp:positionH>
              <wp:positionV relativeFrom="paragraph">
                <wp:posOffset>-74930</wp:posOffset>
              </wp:positionV>
              <wp:extent cx="6515100" cy="0"/>
              <wp:effectExtent l="13335" t="10795" r="5715" b="8255"/>
              <wp:wrapNone/>
              <wp:docPr id="3"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0FA10379" id="Line 6"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5.9pt" to="481.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" strokecolor="#c4bc96 [2414]" strokeweight=".5pt">
              <v:shadow opacity="22938f" offset="0"/>
            </v:line>
          </w:pict>
        </mc:Fallback>
      </mc:AlternateContent>
    </w:r>
  </w:p>
  <w:p w14:paraId="171D456A" w14:textId="77777777" w:rsidR="00AD7435" w:rsidRDefault="00AD7435" w:rsidP="0061173D">
    <w:pPr>
      <w:pStyle w:val="Footer"/>
      <w:tabs>
        <w:tab w:val="clear" w:pos="8640"/>
        <w:tab w:val="right" w:pos="9630"/>
      </w:tabs>
      <w:ind w:right="-990"/>
      <w:jc w:val="right"/>
    </w:pPr>
    <w:r>
      <w:rPr>
        <w:rFonts w:ascii="Avenir Light" w:hAnsi="Avenir Light"/>
        <w:b/>
        <w:color w:val="1F497D" w:themeColor="text2"/>
        <w:sz w:val="14"/>
      </w:rPr>
      <w:t xml:space="preserve">Biggins Lacy Shapiro &amp; Co., LLC    </w:t>
    </w:r>
    <w:r w:rsidRPr="00BC63A5">
      <w:rPr>
        <w:rFonts w:ascii="Avenir Light" w:hAnsi="Avenir Light"/>
        <w:b/>
        <w:color w:val="C4BC96" w:themeColor="background2" w:themeShade="BF"/>
        <w:sz w:val="14"/>
      </w:rPr>
      <w:t>|</w:t>
    </w:r>
    <w:r>
      <w:rPr>
        <w:rFonts w:ascii="Avenir Light" w:hAnsi="Avenir Light"/>
        <w:b/>
        <w:color w:val="C4BC96" w:themeColor="background2" w:themeShade="BF"/>
        <w:sz w:val="14"/>
      </w:rPr>
      <w:t xml:space="preserve">    </w:t>
    </w:r>
    <w:r>
      <w:rPr>
        <w:rFonts w:ascii="Avenir Light" w:hAnsi="Avenir Light"/>
        <w:b/>
        <w:color w:val="1F497D" w:themeColor="text2"/>
        <w:sz w:val="14"/>
      </w:rPr>
      <w:t xml:space="preserve">blsstrategies.com   </w:t>
    </w:r>
    <w:r w:rsidRPr="00BC63A5">
      <w:rPr>
        <w:rFonts w:ascii="Avenir Light" w:hAnsi="Avenir Light"/>
        <w:b/>
        <w:color w:val="C4BC96" w:themeColor="background2" w:themeShade="BF"/>
        <w:sz w:val="14"/>
      </w:rPr>
      <w:t>|</w:t>
    </w:r>
    <w:r>
      <w:rPr>
        <w:rFonts w:ascii="Avenir Light" w:hAnsi="Avenir Light"/>
        <w:b/>
        <w:color w:val="1F497D" w:themeColor="text2"/>
        <w:sz w:val="14"/>
      </w:rPr>
      <w:t xml:space="preserve">    </w:t>
    </w:r>
    <w:r>
      <w:fldChar w:fldCharType="begin"/>
    </w:r>
    <w:r>
      <w:instrText xml:space="preserve"> PAGE   \* MERGEFORMAT </w:instrText>
    </w:r>
    <w:r>
      <w:fldChar w:fldCharType="separate"/>
    </w:r>
    <w:r w:rsidR="007638ED" w:rsidRPr="007638ED">
      <w:rPr>
        <w:rFonts w:ascii="Avenir Light" w:hAnsi="Avenir Light"/>
        <w:b/>
        <w:noProof/>
        <w:color w:val="1F497D" w:themeColor="text2"/>
        <w:sz w:val="14"/>
      </w:rPr>
      <w:t>4</w:t>
    </w:r>
    <w:r>
      <w:rPr>
        <w:rFonts w:ascii="Avenir Light" w:hAnsi="Avenir Light"/>
        <w:b/>
        <w:noProof/>
        <w:color w:val="1F497D" w:themeColor="text2"/>
        <w:sz w:val="14"/>
      </w:rPr>
      <w:fldChar w:fldCharType="end"/>
    </w:r>
  </w:p>
  <w:p w14:paraId="6A19D177" w14:textId="77777777" w:rsidR="005C2744" w:rsidRDefault="005C27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33595B" w14:textId="77777777" w:rsidR="00AD7435" w:rsidRDefault="00AD7435" w:rsidP="008E40C2">
    <w:pPr>
      <w:pStyle w:val="Footer"/>
      <w:tabs>
        <w:tab w:val="clear" w:pos="8640"/>
        <w:tab w:val="right" w:pos="9630"/>
      </w:tabs>
      <w:ind w:right="-990"/>
    </w:pPr>
    <w:r>
      <w:rPr>
        <w:noProof/>
      </w:rPr>
      <mc:AlternateContent>
        <mc:Choice Requires="wps">
          <w:drawing>
            <wp:anchor distT="0" distB="0" distL="114300" distR="114300" simplePos="0" relativeHeight="251654144" behindDoc="0" locked="0" layoutInCell="1" allowOverlap="1" wp14:anchorId="1AAF5A5F" wp14:editId="542AA728">
              <wp:simplePos x="0" y="0"/>
              <wp:positionH relativeFrom="column">
                <wp:posOffset>-397510</wp:posOffset>
              </wp:positionH>
              <wp:positionV relativeFrom="paragraph">
                <wp:posOffset>78740</wp:posOffset>
              </wp:positionV>
              <wp:extent cx="6515100" cy="0"/>
              <wp:effectExtent l="12065" t="12065" r="6985" b="6985"/>
              <wp:wrapTight wrapText="bothSides">
                <wp:wrapPolygon edited="0">
                  <wp:start x="-29" y="-2147483648"/>
                  <wp:lineTo x="0" y="-2147483648"/>
                  <wp:lineTo x="10829" y="-2147483648"/>
                  <wp:lineTo x="10829" y="-2147483648"/>
                  <wp:lineTo x="21571" y="-2147483648"/>
                  <wp:lineTo x="21659" y="-2147483648"/>
                  <wp:lineTo x="-29" y="-2147483648"/>
                </wp:wrapPolygon>
              </wp:wrapTight>
              <wp:docPr id="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731E9E" id="Line 9"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pt,6.2pt" to="481.7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" strokecolor="#c4bc96 [2414]" strokeweight=".5pt">
              <v:shadow opacity="22938f" offset="0"/>
              <w10:wrap type="tight"/>
            </v:line>
          </w:pict>
        </mc:Fallback>
      </mc:AlternateContent>
    </w:r>
  </w:p>
  <w:p w14:paraId="11F7BE1F" w14:textId="77777777" w:rsidR="00AD7435" w:rsidRDefault="00AD7435" w:rsidP="00101BFC">
    <w:pPr>
      <w:pStyle w:val="Footer"/>
      <w:tabs>
        <w:tab w:val="clear" w:pos="8640"/>
        <w:tab w:val="right" w:pos="9630"/>
      </w:tabs>
      <w:ind w:right="-990"/>
      <w:jc w:val="right"/>
    </w:pPr>
    <w:r>
      <w:rPr>
        <w:noProof/>
      </w:rPr>
      <w:drawing>
        <wp:anchor distT="0" distB="0" distL="114300" distR="114300" simplePos="0" relativeHeight="251652096" behindDoc="1" locked="0" layoutInCell="1" allowOverlap="1" wp14:anchorId="035B8FAA" wp14:editId="6AA30FF9">
          <wp:simplePos x="0" y="0"/>
          <wp:positionH relativeFrom="column">
            <wp:posOffset>-62865</wp:posOffset>
          </wp:positionH>
          <wp:positionV relativeFrom="paragraph">
            <wp:posOffset>14605</wp:posOffset>
          </wp:positionV>
          <wp:extent cx="330200" cy="313055"/>
          <wp:effectExtent l="25400" t="0" r="0" b="0"/>
          <wp:wrapNone/>
          <wp:docPr id="95540129" name="Picture 95540129" descr="BLS.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LS.blue.jpg"/>
                  <pic:cNvPicPr>
                    <a:picLocks noChangeAspect="1" noChangeArrowheads="1"/>
                  </pic:cNvPicPr>
                </pic:nvPicPr>
                <pic:blipFill>
                  <a:blip r:embed="rId1"/>
                  <a:srcRect/>
                  <a:stretch>
                    <a:fillRect/>
                  </a:stretch>
                </pic:blipFill>
                <pic:spPr bwMode="auto">
                  <a:xfrm>
                    <a:off x="0" y="0"/>
                    <a:ext cx="330200" cy="313055"/>
                  </a:xfrm>
                  <a:prstGeom prst="rect">
                    <a:avLst/>
                  </a:prstGeom>
                  <a:noFill/>
                  <a:ln w="9525">
                    <a:noFill/>
                    <a:miter lim="800000"/>
                    <a:headEnd/>
                    <a:tailEnd/>
                  </a:ln>
                </pic:spPr>
              </pic:pic>
            </a:graphicData>
          </a:graphic>
        </wp:anchor>
      </w:drawing>
    </w:r>
    <w:r>
      <w:t xml:space="preserve">       </w:t>
    </w:r>
    <w:r>
      <w:rPr>
        <w:rFonts w:ascii="Avenir Light" w:hAnsi="Avenir Light"/>
        <w:b/>
        <w:color w:val="1F497D" w:themeColor="text2"/>
        <w:sz w:val="14"/>
      </w:rPr>
      <w:t xml:space="preserve">Biggins Lacy Shapiro &amp; Co., LLC    </w:t>
    </w:r>
    <w:r w:rsidRPr="00BC63A5">
      <w:rPr>
        <w:rFonts w:ascii="Avenir Light" w:hAnsi="Avenir Light"/>
        <w:b/>
        <w:color w:val="C4BC96" w:themeColor="background2" w:themeShade="BF"/>
        <w:sz w:val="14"/>
      </w:rPr>
      <w:t>|</w:t>
    </w:r>
    <w:r>
      <w:rPr>
        <w:rFonts w:ascii="Avenir Light" w:hAnsi="Avenir Light"/>
        <w:b/>
        <w:color w:val="C4BC96" w:themeColor="background2" w:themeShade="BF"/>
        <w:sz w:val="14"/>
      </w:rPr>
      <w:t xml:space="preserve">    </w:t>
    </w:r>
    <w:r>
      <w:rPr>
        <w:rFonts w:ascii="Avenir Light" w:hAnsi="Avenir Light"/>
        <w:b/>
        <w:color w:val="1F497D" w:themeColor="text2"/>
        <w:sz w:val="14"/>
      </w:rPr>
      <w:t xml:space="preserve">blsstrategies.com   </w:t>
    </w:r>
    <w:r w:rsidRPr="00BC63A5">
      <w:rPr>
        <w:rFonts w:ascii="Avenir Light" w:hAnsi="Avenir Light"/>
        <w:b/>
        <w:color w:val="C4BC96" w:themeColor="background2" w:themeShade="BF"/>
        <w:sz w:val="14"/>
      </w:rPr>
      <w:t>|</w:t>
    </w:r>
    <w:r>
      <w:rPr>
        <w:rFonts w:ascii="Avenir Light" w:hAnsi="Avenir Light"/>
        <w:b/>
        <w:color w:val="1F497D" w:themeColor="text2"/>
        <w:sz w:val="14"/>
      </w:rPr>
      <w:t xml:space="preserve">    </w:t>
    </w:r>
    <w:r>
      <w:fldChar w:fldCharType="begin"/>
    </w:r>
    <w:r>
      <w:instrText xml:space="preserve"> PAGE   \* MERGEFORMAT </w:instrText>
    </w:r>
    <w:r>
      <w:fldChar w:fldCharType="separate"/>
    </w:r>
    <w:r w:rsidR="007638ED" w:rsidRPr="007638ED">
      <w:rPr>
        <w:rFonts w:ascii="Avenir Light" w:hAnsi="Avenir Light"/>
        <w:b/>
        <w:noProof/>
        <w:color w:val="1F497D" w:themeColor="text2"/>
        <w:sz w:val="14"/>
      </w:rPr>
      <w:t>1</w:t>
    </w:r>
    <w:r>
      <w:rPr>
        <w:rFonts w:ascii="Avenir Light" w:hAnsi="Avenir Light"/>
        <w:b/>
        <w:noProof/>
        <w:color w:val="1F497D" w:themeColor="text2"/>
        <w:sz w:val="14"/>
      </w:rPr>
      <w:fldChar w:fldCharType="end"/>
    </w:r>
  </w:p>
  <w:p w14:paraId="6845585E" w14:textId="77777777" w:rsidR="00AD7435" w:rsidRDefault="00AD7435" w:rsidP="008D4129">
    <w:pPr>
      <w:pStyle w:val="Footer"/>
      <w:ind w:left="-1800"/>
    </w:pPr>
  </w:p>
  <w:p w14:paraId="26666741" w14:textId="77777777" w:rsidR="005C2744" w:rsidRDefault="005C27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7338A" w14:textId="77777777" w:rsidR="000B57F5" w:rsidRDefault="000B57F5">
      <w:r>
        <w:separator/>
      </w:r>
    </w:p>
  </w:footnote>
  <w:footnote w:type="continuationSeparator" w:id="0">
    <w:p w14:paraId="117B6F06" w14:textId="77777777" w:rsidR="000B57F5" w:rsidRDefault="000B57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34993A" w14:textId="77777777" w:rsidR="00AD7435" w:rsidRDefault="00AD7435">
    <w:pPr>
      <w:pStyle w:val="Header"/>
    </w:pPr>
    <w:r>
      <w:rPr>
        <w:noProof/>
      </w:rPr>
      <mc:AlternateContent>
        <mc:Choice Requires="wps">
          <w:drawing>
            <wp:anchor distT="0" distB="0" distL="114300" distR="114300" simplePos="0" relativeHeight="251659264" behindDoc="0" locked="0" layoutInCell="1" allowOverlap="1" wp14:anchorId="6AFC1C0E" wp14:editId="64CD2FA2">
              <wp:simplePos x="0" y="0"/>
              <wp:positionH relativeFrom="column">
                <wp:posOffset>-405765</wp:posOffset>
              </wp:positionH>
              <wp:positionV relativeFrom="paragraph">
                <wp:posOffset>116840</wp:posOffset>
              </wp:positionV>
              <wp:extent cx="6515100" cy="0"/>
              <wp:effectExtent l="13335" t="12065" r="5715" b="6985"/>
              <wp:wrapNone/>
              <wp:docPr id="6"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FE637EE"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9.2pt" to="481.0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" strokecolor="#c4bc96 [2414]" strokeweight=".5pt">
              <v:shadow opacity="22938f" offset="0"/>
            </v:line>
          </w:pict>
        </mc:Fallback>
      </mc:AlternateContent>
    </w:r>
    <w:r>
      <w:rPr>
        <w:noProof/>
      </w:rPr>
      <mc:AlternateContent>
        <mc:Choice Requires="wps">
          <w:drawing>
            <wp:anchor distT="0" distB="0" distL="114300" distR="114300" simplePos="0" relativeHeight="251658240" behindDoc="0" locked="0" layoutInCell="1" allowOverlap="1" wp14:anchorId="2EA93F15" wp14:editId="2DE5CB51">
              <wp:simplePos x="0" y="0"/>
              <wp:positionH relativeFrom="column">
                <wp:posOffset>-405765</wp:posOffset>
              </wp:positionH>
              <wp:positionV relativeFrom="paragraph">
                <wp:posOffset>167640</wp:posOffset>
              </wp:positionV>
              <wp:extent cx="6515100" cy="0"/>
              <wp:effectExtent l="13335" t="5715" r="5715" b="13335"/>
              <wp:wrapNone/>
              <wp:docPr id="5"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100" cy="0"/>
                      </a:xfrm>
                      <a:prstGeom prst="line">
                        <a:avLst/>
                      </a:prstGeom>
                      <a:noFill/>
                      <a:ln w="6350">
                        <a:solidFill>
                          <a:schemeClr val="bg2">
                            <a:lumMod val="7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8E4AD2"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13.2pt" to="481.05pt,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" strokecolor="#c4bc96 [2414]" strokeweight=".5pt">
              <v:shadow opacity="22938f" offset="0"/>
            </v:line>
          </w:pict>
        </mc:Fallback>
      </mc:AlternateContent>
    </w:r>
  </w:p>
  <w:p w14:paraId="09431540" w14:textId="77777777" w:rsidR="005C2744" w:rsidRDefault="005C27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D2E367" w14:textId="77777777" w:rsidR="00AD7435" w:rsidRDefault="00AD7435">
    <w:pPr>
      <w:pStyle w:val="Header"/>
    </w:pPr>
    <w:r>
      <w:rPr>
        <w:noProof/>
      </w:rPr>
      <w:drawing>
        <wp:anchor distT="0" distB="0" distL="114300" distR="114300" simplePos="0" relativeHeight="251664384" behindDoc="1" locked="0" layoutInCell="1" allowOverlap="1" wp14:anchorId="68C31002" wp14:editId="1E4A125E">
          <wp:simplePos x="0" y="0"/>
          <wp:positionH relativeFrom="column">
            <wp:posOffset>-1202267</wp:posOffset>
          </wp:positionH>
          <wp:positionV relativeFrom="paragraph">
            <wp:posOffset>-457200</wp:posOffset>
          </wp:positionV>
          <wp:extent cx="8128000" cy="2745740"/>
          <wp:effectExtent l="25400" t="0" r="0" b="0"/>
          <wp:wrapNone/>
          <wp:docPr id="95540128" name="Picture 95540128" descr="iStock_000026511750_Large.bann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Stock_000026511750_Large.banner.jpg"/>
                  <pic:cNvPicPr/>
                </pic:nvPicPr>
                <pic:blipFill>
                  <a:blip r:embed="rId1">
                    <a:duotone>
                      <a:schemeClr val="tx2">
                        <a:lumMod val="50000"/>
                      </a:schemeClr>
                      <a:srgbClr val="FFF1C1"/>
                    </a:duotone>
                    <a:alphaModFix amt="22000"/>
                  </a:blip>
                  <a:srcRect b="7607"/>
                  <a:stretch>
                    <a:fillRect/>
                  </a:stretch>
                </pic:blipFill>
                <pic:spPr>
                  <a:xfrm>
                    <a:off x="0" y="0"/>
                    <a:ext cx="8128000" cy="2745740"/>
                  </a:xfrm>
                  <a:prstGeom prst="rect">
                    <a:avLst/>
                  </a:prstGeom>
                  <a:solidFill>
                    <a:schemeClr val="tx2"/>
                  </a:solidFill>
                </pic:spPr>
              </pic:pic>
            </a:graphicData>
          </a:graphic>
        </wp:anchor>
      </w:drawing>
    </w:r>
  </w:p>
  <w:p w14:paraId="7055539B" w14:textId="77777777" w:rsidR="005C2744" w:rsidRDefault="005C274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4B2AF7C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BF351F"/>
    <w:multiLevelType w:val="hybridMultilevel"/>
    <w:tmpl w:val="235844D4"/>
    <w:lvl w:ilvl="0" w:tplc="DACA2808">
      <w:numFmt w:val="bullet"/>
      <w:lvlText w:val="-"/>
      <w:lvlJc w:val="left"/>
      <w:pPr>
        <w:ind w:left="720" w:hanging="360"/>
      </w:pPr>
      <w:rPr>
        <w:rFonts w:ascii="Calibri" w:eastAsiaTheme="minorEastAsia" w:hAnsi="Calibri" w:cstheme="minorBidi" w:hint="default"/>
      </w:rPr>
    </w:lvl>
    <w:lvl w:ilvl="1" w:tplc="04090003" w:tentative="1">
      <w:start w:val="1"/>
      <w:numFmt w:val="bullet"/>
      <w:lvlText w:val="o"/>
      <w:lvlJc w:val="left"/>
      <w:pPr>
        <w:ind w:left="1440" w:hanging="360"/>
      </w:pPr>
      <w:rPr>
        <w:rFonts w:ascii="Courier New" w:hAnsi="Courier New" w:cs="Avenir Book"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venir Book"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venir Book"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FC349A"/>
    <w:multiLevelType w:val="multilevel"/>
    <w:tmpl w:val="424A6EE6"/>
    <w:styleLink w:val="BLSBullets"/>
    <w:lvl w:ilvl="0">
      <w:start w:val="1"/>
      <w:numFmt w:val="bullet"/>
      <w:pStyle w:val="BLSBulletsCopy"/>
      <w:lvlText w:val=""/>
      <w:lvlJc w:val="left"/>
      <w:pPr>
        <w:ind w:left="1440" w:hanging="360"/>
      </w:pPr>
      <w:rPr>
        <w:rFonts w:ascii="Symbol" w:hAnsi="Symbol" w:hint="default"/>
        <w:b/>
        <w:color w:val="C4BC96" w:themeColor="background2" w:themeShade="BF"/>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0D9657B2"/>
    <w:multiLevelType w:val="hybridMultilevel"/>
    <w:tmpl w:val="03D677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36C51DE"/>
    <w:multiLevelType w:val="hybridMultilevel"/>
    <w:tmpl w:val="DF704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5A737C"/>
    <w:multiLevelType w:val="hybridMultilevel"/>
    <w:tmpl w:val="709478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A719F"/>
    <w:multiLevelType w:val="multilevel"/>
    <w:tmpl w:val="84D2F6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9E0E20"/>
    <w:multiLevelType w:val="hybridMultilevel"/>
    <w:tmpl w:val="37DC4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167012"/>
    <w:multiLevelType w:val="hybridMultilevel"/>
    <w:tmpl w:val="5D08831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E032D2"/>
    <w:multiLevelType w:val="multilevel"/>
    <w:tmpl w:val="424A6EE6"/>
    <w:numStyleLink w:val="BLSBullets"/>
  </w:abstractNum>
  <w:abstractNum w:abstractNumId="10" w15:restartNumberingAfterBreak="0">
    <w:nsid w:val="30277F78"/>
    <w:multiLevelType w:val="hybridMultilevel"/>
    <w:tmpl w:val="CF2C6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6979D8"/>
    <w:multiLevelType w:val="hybridMultilevel"/>
    <w:tmpl w:val="4328A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DA46C0"/>
    <w:multiLevelType w:val="multilevel"/>
    <w:tmpl w:val="424A6EE6"/>
    <w:numStyleLink w:val="BLSBullets"/>
  </w:abstractNum>
  <w:abstractNum w:abstractNumId="13" w15:restartNumberingAfterBreak="0">
    <w:nsid w:val="3B94503D"/>
    <w:multiLevelType w:val="multilevel"/>
    <w:tmpl w:val="424A6EE6"/>
    <w:numStyleLink w:val="BLSBullets"/>
  </w:abstractNum>
  <w:abstractNum w:abstractNumId="14" w15:restartNumberingAfterBreak="0">
    <w:nsid w:val="3D703771"/>
    <w:multiLevelType w:val="hybridMultilevel"/>
    <w:tmpl w:val="424A6EE6"/>
    <w:lvl w:ilvl="0" w:tplc="F2CE7D06">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0E71F71"/>
    <w:multiLevelType w:val="hybridMultilevel"/>
    <w:tmpl w:val="AE941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8AA6B42"/>
    <w:multiLevelType w:val="hybridMultilevel"/>
    <w:tmpl w:val="3DF67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58F0A74"/>
    <w:multiLevelType w:val="hybridMultilevel"/>
    <w:tmpl w:val="4C526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4D72A6"/>
    <w:multiLevelType w:val="hybridMultilevel"/>
    <w:tmpl w:val="348C3ACA"/>
    <w:lvl w:ilvl="0" w:tplc="0409000D">
      <w:start w:val="1"/>
      <w:numFmt w:val="bullet"/>
      <w:lvlText w:val=""/>
      <w:lvlJc w:val="left"/>
      <w:pPr>
        <w:ind w:left="1440" w:hanging="360"/>
      </w:pPr>
      <w:rPr>
        <w:rFonts w:ascii="Wingdings" w:hAnsi="Wingding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5FC13027"/>
    <w:multiLevelType w:val="multilevel"/>
    <w:tmpl w:val="424A6EE6"/>
    <w:numStyleLink w:val="BLSBullets"/>
  </w:abstractNum>
  <w:abstractNum w:abstractNumId="20" w15:restartNumberingAfterBreak="0">
    <w:nsid w:val="65786ED4"/>
    <w:multiLevelType w:val="hybridMultilevel"/>
    <w:tmpl w:val="3516D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6353A20"/>
    <w:multiLevelType w:val="multilevel"/>
    <w:tmpl w:val="4B44FCA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0676620"/>
    <w:multiLevelType w:val="multilevel"/>
    <w:tmpl w:val="424A6EE6"/>
    <w:numStyleLink w:val="BLSBullets"/>
  </w:abstractNum>
  <w:abstractNum w:abstractNumId="23" w15:restartNumberingAfterBreak="0">
    <w:nsid w:val="76197D53"/>
    <w:multiLevelType w:val="hybridMultilevel"/>
    <w:tmpl w:val="C57A7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63F2489"/>
    <w:multiLevelType w:val="multilevel"/>
    <w:tmpl w:val="424A6EE6"/>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25" w15:restartNumberingAfterBreak="0">
    <w:nsid w:val="7E346502"/>
    <w:multiLevelType w:val="hybridMultilevel"/>
    <w:tmpl w:val="B5DE8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42566759">
    <w:abstractNumId w:val="1"/>
  </w:num>
  <w:num w:numId="2" w16cid:durableId="742725079">
    <w:abstractNumId w:val="18"/>
  </w:num>
  <w:num w:numId="3" w16cid:durableId="1422752398">
    <w:abstractNumId w:val="14"/>
  </w:num>
  <w:num w:numId="4" w16cid:durableId="616526585">
    <w:abstractNumId w:val="24"/>
  </w:num>
  <w:num w:numId="5" w16cid:durableId="2069985581">
    <w:abstractNumId w:val="2"/>
  </w:num>
  <w:num w:numId="6" w16cid:durableId="1011877281">
    <w:abstractNumId w:val="19"/>
  </w:num>
  <w:num w:numId="7" w16cid:durableId="1320690484">
    <w:abstractNumId w:val="12"/>
  </w:num>
  <w:num w:numId="8" w16cid:durableId="541787452">
    <w:abstractNumId w:val="22"/>
  </w:num>
  <w:num w:numId="9" w16cid:durableId="1486699846">
    <w:abstractNumId w:val="9"/>
  </w:num>
  <w:num w:numId="10" w16cid:durableId="1896507117">
    <w:abstractNumId w:val="13"/>
  </w:num>
  <w:num w:numId="11" w16cid:durableId="1605116149">
    <w:abstractNumId w:val="0"/>
  </w:num>
  <w:num w:numId="12" w16cid:durableId="260718839">
    <w:abstractNumId w:val="21"/>
  </w:num>
  <w:num w:numId="13" w16cid:durableId="1453016296">
    <w:abstractNumId w:val="6"/>
  </w:num>
  <w:num w:numId="14" w16cid:durableId="1046490806">
    <w:abstractNumId w:val="17"/>
  </w:num>
  <w:num w:numId="15" w16cid:durableId="83382563">
    <w:abstractNumId w:val="16"/>
  </w:num>
  <w:num w:numId="16" w16cid:durableId="1493905805">
    <w:abstractNumId w:val="15"/>
  </w:num>
  <w:num w:numId="17" w16cid:durableId="568807107">
    <w:abstractNumId w:val="7"/>
  </w:num>
  <w:num w:numId="18" w16cid:durableId="172843144">
    <w:abstractNumId w:val="11"/>
  </w:num>
  <w:num w:numId="19" w16cid:durableId="505704636">
    <w:abstractNumId w:val="10"/>
  </w:num>
  <w:num w:numId="20" w16cid:durableId="432094591">
    <w:abstractNumId w:val="20"/>
  </w:num>
  <w:num w:numId="21" w16cid:durableId="684094808">
    <w:abstractNumId w:val="4"/>
  </w:num>
  <w:num w:numId="22" w16cid:durableId="1807047619">
    <w:abstractNumId w:val="23"/>
  </w:num>
  <w:num w:numId="23" w16cid:durableId="2135753111">
    <w:abstractNumId w:val="3"/>
  </w:num>
  <w:num w:numId="24" w16cid:durableId="1156998679">
    <w:abstractNumId w:val="8"/>
  </w:num>
  <w:num w:numId="25" w16cid:durableId="139737132">
    <w:abstractNumId w:val="5"/>
  </w:num>
  <w:num w:numId="26" w16cid:durableId="108680551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proofState w:spelling="clean" w:grammar="clean"/>
  <w:defaultTabStop w:val="720"/>
  <w:drawingGridHorizontalSpacing w:val="14"/>
  <w:drawingGridVerticalSpacing w:val="14"/>
  <w:displayHorizontalDrawingGridEvery w:val="0"/>
  <w:displayVerticalDrawingGridEvery w:val="0"/>
  <w:doNotUseMarginsForDrawingGridOrigin/>
  <w:drawingGridHorizontalOrigin w:val="144"/>
  <w:drawingGridVerticalOrigin w:val="144"/>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3149"/>
    <w:rsid w:val="00004B07"/>
    <w:rsid w:val="000179F8"/>
    <w:rsid w:val="000616CA"/>
    <w:rsid w:val="000B57F5"/>
    <w:rsid w:val="000D7378"/>
    <w:rsid w:val="000F443B"/>
    <w:rsid w:val="00101BFC"/>
    <w:rsid w:val="001122A4"/>
    <w:rsid w:val="001D3C5B"/>
    <w:rsid w:val="001D48DC"/>
    <w:rsid w:val="001D56A9"/>
    <w:rsid w:val="001E7E18"/>
    <w:rsid w:val="00206037"/>
    <w:rsid w:val="00261248"/>
    <w:rsid w:val="00263149"/>
    <w:rsid w:val="002C448C"/>
    <w:rsid w:val="002D6244"/>
    <w:rsid w:val="003049E0"/>
    <w:rsid w:val="003078D4"/>
    <w:rsid w:val="00317086"/>
    <w:rsid w:val="0033239C"/>
    <w:rsid w:val="00333D82"/>
    <w:rsid w:val="003A5856"/>
    <w:rsid w:val="00412100"/>
    <w:rsid w:val="00413196"/>
    <w:rsid w:val="00414CD2"/>
    <w:rsid w:val="0044001E"/>
    <w:rsid w:val="004561F1"/>
    <w:rsid w:val="00460061"/>
    <w:rsid w:val="004731C7"/>
    <w:rsid w:val="00477013"/>
    <w:rsid w:val="00487608"/>
    <w:rsid w:val="004A6384"/>
    <w:rsid w:val="004B16FF"/>
    <w:rsid w:val="004D246D"/>
    <w:rsid w:val="004D3D7D"/>
    <w:rsid w:val="004D5712"/>
    <w:rsid w:val="004F2361"/>
    <w:rsid w:val="00525E9B"/>
    <w:rsid w:val="00527C93"/>
    <w:rsid w:val="005300F7"/>
    <w:rsid w:val="0055061C"/>
    <w:rsid w:val="00577CB8"/>
    <w:rsid w:val="005816D5"/>
    <w:rsid w:val="0058257C"/>
    <w:rsid w:val="005C2744"/>
    <w:rsid w:val="0060340D"/>
    <w:rsid w:val="006115B4"/>
    <w:rsid w:val="0061173D"/>
    <w:rsid w:val="0062238E"/>
    <w:rsid w:val="00643D17"/>
    <w:rsid w:val="00664568"/>
    <w:rsid w:val="006A47D5"/>
    <w:rsid w:val="006B3819"/>
    <w:rsid w:val="006C46C7"/>
    <w:rsid w:val="006C6DAF"/>
    <w:rsid w:val="006D7D71"/>
    <w:rsid w:val="00702D2B"/>
    <w:rsid w:val="00720875"/>
    <w:rsid w:val="00746C68"/>
    <w:rsid w:val="007638ED"/>
    <w:rsid w:val="00777164"/>
    <w:rsid w:val="007D3EB7"/>
    <w:rsid w:val="007D50CE"/>
    <w:rsid w:val="00807A0F"/>
    <w:rsid w:val="00812E49"/>
    <w:rsid w:val="00882E95"/>
    <w:rsid w:val="008D4129"/>
    <w:rsid w:val="008E40C2"/>
    <w:rsid w:val="00921299"/>
    <w:rsid w:val="00947223"/>
    <w:rsid w:val="00996846"/>
    <w:rsid w:val="009A1C14"/>
    <w:rsid w:val="009B0B4E"/>
    <w:rsid w:val="009C513A"/>
    <w:rsid w:val="009D1232"/>
    <w:rsid w:val="009D359B"/>
    <w:rsid w:val="009D5127"/>
    <w:rsid w:val="00A00AA4"/>
    <w:rsid w:val="00A3200F"/>
    <w:rsid w:val="00A607E7"/>
    <w:rsid w:val="00A6112C"/>
    <w:rsid w:val="00A6395A"/>
    <w:rsid w:val="00A64435"/>
    <w:rsid w:val="00AC2543"/>
    <w:rsid w:val="00AD6A29"/>
    <w:rsid w:val="00AD7435"/>
    <w:rsid w:val="00AF19E6"/>
    <w:rsid w:val="00B11405"/>
    <w:rsid w:val="00B26DC1"/>
    <w:rsid w:val="00B90203"/>
    <w:rsid w:val="00BC63A5"/>
    <w:rsid w:val="00BF4569"/>
    <w:rsid w:val="00C14B0A"/>
    <w:rsid w:val="00C220ED"/>
    <w:rsid w:val="00C3150D"/>
    <w:rsid w:val="00C32057"/>
    <w:rsid w:val="00C60A46"/>
    <w:rsid w:val="00CB4D41"/>
    <w:rsid w:val="00CB6D07"/>
    <w:rsid w:val="00CC6AE1"/>
    <w:rsid w:val="00CE2250"/>
    <w:rsid w:val="00D45312"/>
    <w:rsid w:val="00D60412"/>
    <w:rsid w:val="00D75A98"/>
    <w:rsid w:val="00DA3E9A"/>
    <w:rsid w:val="00DA5472"/>
    <w:rsid w:val="00DD1BED"/>
    <w:rsid w:val="00E46C2F"/>
    <w:rsid w:val="00E51B83"/>
    <w:rsid w:val="00E6633B"/>
    <w:rsid w:val="00E964F2"/>
    <w:rsid w:val="00EA2ED1"/>
    <w:rsid w:val="00EB5BEA"/>
    <w:rsid w:val="00EC54C3"/>
    <w:rsid w:val="00ED7F39"/>
    <w:rsid w:val="00EF3E4D"/>
    <w:rsid w:val="00F24150"/>
    <w:rsid w:val="00F36CFB"/>
    <w:rsid w:val="00F5632D"/>
    <w:rsid w:val="00FA213B"/>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5AB624B"/>
  <w15:docId w15:val="{CF4F2F8A-0713-4899-9515-65E14A38A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D4F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A213B"/>
    <w:pPr>
      <w:tabs>
        <w:tab w:val="center" w:pos="4320"/>
        <w:tab w:val="right" w:pos="8640"/>
      </w:tabs>
    </w:pPr>
  </w:style>
  <w:style w:type="character" w:customStyle="1" w:styleId="HeaderChar">
    <w:name w:val="Header Char"/>
    <w:basedOn w:val="DefaultParagraphFont"/>
    <w:link w:val="Header"/>
    <w:uiPriority w:val="99"/>
    <w:rsid w:val="00FA213B"/>
    <w:rPr>
      <w:sz w:val="24"/>
    </w:rPr>
  </w:style>
  <w:style w:type="paragraph" w:styleId="Footer">
    <w:name w:val="footer"/>
    <w:basedOn w:val="Normal"/>
    <w:link w:val="FooterChar"/>
    <w:uiPriority w:val="99"/>
    <w:unhideWhenUsed/>
    <w:rsid w:val="00FA213B"/>
    <w:pPr>
      <w:tabs>
        <w:tab w:val="center" w:pos="4320"/>
        <w:tab w:val="right" w:pos="8640"/>
      </w:tabs>
    </w:pPr>
  </w:style>
  <w:style w:type="character" w:customStyle="1" w:styleId="FooterChar">
    <w:name w:val="Footer Char"/>
    <w:basedOn w:val="DefaultParagraphFont"/>
    <w:link w:val="Footer"/>
    <w:uiPriority w:val="99"/>
    <w:rsid w:val="00FA213B"/>
    <w:rPr>
      <w:sz w:val="24"/>
    </w:rPr>
  </w:style>
  <w:style w:type="paragraph" w:styleId="FootnoteText">
    <w:name w:val="footnote text"/>
    <w:basedOn w:val="Normal"/>
    <w:link w:val="FootnoteTextChar"/>
    <w:uiPriority w:val="99"/>
    <w:semiHidden/>
    <w:unhideWhenUsed/>
    <w:rsid w:val="00317086"/>
    <w:rPr>
      <w:rFonts w:eastAsiaTheme="minorEastAsia"/>
      <w:sz w:val="20"/>
    </w:rPr>
  </w:style>
  <w:style w:type="character" w:customStyle="1" w:styleId="FootnoteTextChar">
    <w:name w:val="Footnote Text Char"/>
    <w:basedOn w:val="DefaultParagraphFont"/>
    <w:link w:val="FootnoteText"/>
    <w:uiPriority w:val="99"/>
    <w:semiHidden/>
    <w:rsid w:val="00317086"/>
    <w:rPr>
      <w:rFonts w:eastAsiaTheme="minorEastAsia"/>
    </w:rPr>
  </w:style>
  <w:style w:type="character" w:styleId="FootnoteReference">
    <w:name w:val="footnote reference"/>
    <w:basedOn w:val="DefaultParagraphFont"/>
    <w:uiPriority w:val="99"/>
    <w:semiHidden/>
    <w:unhideWhenUsed/>
    <w:rsid w:val="00317086"/>
    <w:rPr>
      <w:vertAlign w:val="superscript"/>
    </w:rPr>
  </w:style>
  <w:style w:type="paragraph" w:styleId="CommentText">
    <w:name w:val="annotation text"/>
    <w:basedOn w:val="Normal"/>
    <w:link w:val="CommentTextChar"/>
    <w:uiPriority w:val="99"/>
    <w:unhideWhenUsed/>
    <w:rsid w:val="00317086"/>
    <w:rPr>
      <w:rFonts w:eastAsiaTheme="minorEastAsia"/>
      <w:sz w:val="20"/>
    </w:rPr>
  </w:style>
  <w:style w:type="character" w:customStyle="1" w:styleId="CommentTextChar">
    <w:name w:val="Comment Text Char"/>
    <w:basedOn w:val="DefaultParagraphFont"/>
    <w:link w:val="CommentText"/>
    <w:uiPriority w:val="99"/>
    <w:rsid w:val="00317086"/>
    <w:rPr>
      <w:rFonts w:eastAsiaTheme="minorEastAsia"/>
    </w:rPr>
  </w:style>
  <w:style w:type="character" w:customStyle="1" w:styleId="CommentSubjectChar">
    <w:name w:val="Comment Subject Char"/>
    <w:basedOn w:val="CommentTextChar"/>
    <w:link w:val="CommentSubject"/>
    <w:uiPriority w:val="99"/>
    <w:semiHidden/>
    <w:rsid w:val="00317086"/>
    <w:rPr>
      <w:rFonts w:eastAsiaTheme="minorEastAsia"/>
      <w:b/>
      <w:bCs/>
    </w:rPr>
  </w:style>
  <w:style w:type="paragraph" w:styleId="CommentSubject">
    <w:name w:val="annotation subject"/>
    <w:basedOn w:val="CommentText"/>
    <w:next w:val="CommentText"/>
    <w:link w:val="CommentSubjectChar"/>
    <w:uiPriority w:val="99"/>
    <w:semiHidden/>
    <w:unhideWhenUsed/>
    <w:rsid w:val="00317086"/>
    <w:rPr>
      <w:b/>
      <w:bCs/>
    </w:rPr>
  </w:style>
  <w:style w:type="character" w:customStyle="1" w:styleId="BalloonTextChar">
    <w:name w:val="Balloon Text Char"/>
    <w:basedOn w:val="DefaultParagraphFont"/>
    <w:link w:val="BalloonText"/>
    <w:uiPriority w:val="99"/>
    <w:semiHidden/>
    <w:rsid w:val="00317086"/>
    <w:rPr>
      <w:rFonts w:ascii="Segoe UI" w:eastAsiaTheme="minorEastAsia" w:hAnsi="Segoe UI" w:cs="Segoe UI"/>
      <w:sz w:val="18"/>
      <w:szCs w:val="18"/>
    </w:rPr>
  </w:style>
  <w:style w:type="paragraph" w:styleId="BalloonText">
    <w:name w:val="Balloon Text"/>
    <w:basedOn w:val="Normal"/>
    <w:link w:val="BalloonTextChar"/>
    <w:uiPriority w:val="99"/>
    <w:semiHidden/>
    <w:unhideWhenUsed/>
    <w:rsid w:val="00317086"/>
    <w:rPr>
      <w:rFonts w:ascii="Segoe UI" w:eastAsiaTheme="minorEastAsia" w:hAnsi="Segoe UI" w:cs="Segoe UI"/>
      <w:sz w:val="18"/>
      <w:szCs w:val="18"/>
    </w:rPr>
  </w:style>
  <w:style w:type="character" w:styleId="Hyperlink">
    <w:name w:val="Hyperlink"/>
    <w:basedOn w:val="DefaultParagraphFont"/>
    <w:uiPriority w:val="99"/>
    <w:unhideWhenUsed/>
    <w:rsid w:val="00317086"/>
    <w:rPr>
      <w:color w:val="0000FF" w:themeColor="hyperlink"/>
      <w:u w:val="single"/>
    </w:rPr>
  </w:style>
  <w:style w:type="paragraph" w:styleId="ListParagraph">
    <w:name w:val="List Paragraph"/>
    <w:basedOn w:val="Normal"/>
    <w:uiPriority w:val="34"/>
    <w:qFormat/>
    <w:rsid w:val="00317086"/>
    <w:pPr>
      <w:spacing w:line="259" w:lineRule="auto"/>
      <w:ind w:left="720"/>
      <w:contextualSpacing/>
    </w:pPr>
    <w:rPr>
      <w:rFonts w:eastAsiaTheme="minorEastAsia"/>
      <w:sz w:val="22"/>
      <w:szCs w:val="22"/>
    </w:rPr>
  </w:style>
  <w:style w:type="character" w:styleId="PageNumber">
    <w:name w:val="page number"/>
    <w:basedOn w:val="DefaultParagraphFont"/>
    <w:uiPriority w:val="99"/>
    <w:semiHidden/>
    <w:unhideWhenUsed/>
    <w:rsid w:val="00BC63A5"/>
  </w:style>
  <w:style w:type="paragraph" w:customStyle="1" w:styleId="Subhead">
    <w:name w:val="Subhead"/>
    <w:basedOn w:val="Normal"/>
    <w:qFormat/>
    <w:rsid w:val="00004B07"/>
    <w:pPr>
      <w:jc w:val="center"/>
    </w:pPr>
    <w:rPr>
      <w:rFonts w:ascii="Avenir Book" w:hAnsi="Avenir Book"/>
      <w:b/>
      <w:caps/>
      <w:color w:val="1F497D" w:themeColor="text2"/>
      <w:spacing w:val="40"/>
      <w:sz w:val="22"/>
    </w:rPr>
  </w:style>
  <w:style w:type="paragraph" w:customStyle="1" w:styleId="RunningCopy">
    <w:name w:val="Running Copy"/>
    <w:basedOn w:val="Normal"/>
    <w:qFormat/>
    <w:rsid w:val="00812E49"/>
    <w:pPr>
      <w:suppressAutoHyphens/>
      <w:spacing w:line="300" w:lineRule="atLeast"/>
    </w:pPr>
    <w:rPr>
      <w:rFonts w:ascii="Avenir Book" w:hAnsi="Avenir Book"/>
      <w:color w:val="0F243E" w:themeColor="text2" w:themeShade="80"/>
      <w:sz w:val="20"/>
    </w:rPr>
  </w:style>
  <w:style w:type="table" w:styleId="TableGrid">
    <w:name w:val="Table Grid"/>
    <w:basedOn w:val="TableNormal"/>
    <w:uiPriority w:val="59"/>
    <w:rsid w:val="00D4531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LSBulletsCopy">
    <w:name w:val="BLS Bullets Copy"/>
    <w:basedOn w:val="RunningCopy"/>
    <w:qFormat/>
    <w:rsid w:val="003A5856"/>
    <w:pPr>
      <w:numPr>
        <w:numId w:val="6"/>
      </w:numPr>
      <w:ind w:left="1080"/>
    </w:pPr>
    <w:rPr>
      <w:color w:val="7F7F7F" w:themeColor="text1" w:themeTint="80"/>
    </w:rPr>
  </w:style>
  <w:style w:type="numbering" w:customStyle="1" w:styleId="BLSBullets">
    <w:name w:val="BLS Bullets"/>
    <w:rsid w:val="00101BFC"/>
    <w:pPr>
      <w:numPr>
        <w:numId w:val="5"/>
      </w:numPr>
    </w:pPr>
  </w:style>
  <w:style w:type="paragraph" w:customStyle="1" w:styleId="Firstparagraph">
    <w:name w:val="First paragraph"/>
    <w:basedOn w:val="RunningCopy"/>
    <w:qFormat/>
    <w:rsid w:val="00101BFC"/>
    <w:pPr>
      <w:spacing w:line="400" w:lineRule="atLeast"/>
    </w:pPr>
    <w:rPr>
      <w:sz w:val="24"/>
    </w:rPr>
  </w:style>
  <w:style w:type="paragraph" w:styleId="ListBullet">
    <w:name w:val="List Bullet"/>
    <w:basedOn w:val="Normal"/>
    <w:rsid w:val="001122A4"/>
    <w:pPr>
      <w:numPr>
        <w:numId w:val="11"/>
      </w:numPr>
      <w:contextualSpacing/>
    </w:pPr>
  </w:style>
  <w:style w:type="table" w:styleId="ColorfulGrid-Accent1">
    <w:name w:val="Colorful Grid Accent 1"/>
    <w:basedOn w:val="TableNormal"/>
    <w:uiPriority w:val="73"/>
    <w:rsid w:val="004D3D7D"/>
    <w:rPr>
      <w:color w:val="000000" w:themeColor="text1"/>
      <w:sz w:val="22"/>
      <w:szCs w:val="22"/>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customStyle="1" w:styleId="Default">
    <w:name w:val="Default"/>
    <w:rsid w:val="00414CD2"/>
    <w:pPr>
      <w:autoSpaceDE w:val="0"/>
      <w:autoSpaceDN w:val="0"/>
      <w:adjustRightInd w:val="0"/>
    </w:pPr>
    <w:rPr>
      <w:rFonts w:ascii="Corbel" w:hAnsi="Corbel" w:cs="Corbel"/>
      <w:color w:val="000000"/>
      <w14:ligatures w14:val="standardContextual"/>
    </w:rPr>
  </w:style>
  <w:style w:type="paragraph" w:customStyle="1" w:styleId="body">
    <w:name w:val="body"/>
    <w:basedOn w:val="Normal"/>
    <w:rsid w:val="00414CD2"/>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414CD2"/>
    <w:rPr>
      <w:b/>
      <w:bCs/>
    </w:rPr>
  </w:style>
  <w:style w:type="paragraph" w:customStyle="1" w:styleId="list-item-gold-2">
    <w:name w:val="list-item-gold-2"/>
    <w:basedOn w:val="Normal"/>
    <w:rsid w:val="00414CD2"/>
    <w:pPr>
      <w:spacing w:before="100" w:beforeAutospacing="1" w:after="100" w:afterAutospacing="1"/>
    </w:pPr>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E46C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footer" Target="footer3.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BLSstrategies.co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www.BLSstrategies.com" TargetMode="Externa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1794</Words>
  <Characters>10231</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Punch Inc.</Company>
  <LinksUpToDate>false</LinksUpToDate>
  <CharactersWithSpaces>12001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S. Fey</dc:creator>
  <cp:lastModifiedBy>Sam Brancato</cp:lastModifiedBy>
  <cp:revision>4</cp:revision>
  <cp:lastPrinted>2023-04-26T21:35:00Z</cp:lastPrinted>
  <dcterms:created xsi:type="dcterms:W3CDTF">2023-05-01T15:17:00Z</dcterms:created>
  <dcterms:modified xsi:type="dcterms:W3CDTF">2023-05-01T15:34:00Z</dcterms:modified>
</cp:coreProperties>
</file>