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9"/>
        <w:tblW w:w="10316" w:type="dxa"/>
        <w:tblLook w:val="04A0" w:firstRow="1" w:lastRow="0" w:firstColumn="1" w:lastColumn="0" w:noHBand="0" w:noVBand="1"/>
      </w:tblPr>
      <w:tblGrid>
        <w:gridCol w:w="715"/>
        <w:gridCol w:w="4770"/>
        <w:gridCol w:w="2340"/>
        <w:gridCol w:w="2491"/>
      </w:tblGrid>
      <w:tr w:rsidR="00DD76A9" w:rsidTr="0010461A">
        <w:trPr>
          <w:gridAfter w:val="2"/>
          <w:wAfter w:w="4831" w:type="dxa"/>
          <w:trHeight w:val="1070"/>
        </w:trPr>
        <w:tc>
          <w:tcPr>
            <w:tcW w:w="5485" w:type="dxa"/>
            <w:gridSpan w:val="2"/>
            <w:shd w:val="clear" w:color="auto" w:fill="D9D9D9" w:themeFill="background1" w:themeFillShade="D9"/>
          </w:tcPr>
          <w:p w:rsidR="00DD76A9" w:rsidRPr="003123F1" w:rsidRDefault="00DD76A9" w:rsidP="00DD76A9">
            <w:pPr>
              <w:pStyle w:val="Title"/>
              <w:jc w:val="center"/>
            </w:pPr>
            <w:r w:rsidRPr="00DD76A9">
              <w:rPr>
                <w:sz w:val="44"/>
              </w:rPr>
              <w:t>Accessible and Inclusive Meetings or Events Checklist</w:t>
            </w:r>
          </w:p>
        </w:tc>
      </w:tr>
      <w:tr w:rsidR="00DD76A9" w:rsidTr="00511E81">
        <w:trPr>
          <w:trHeight w:val="399"/>
        </w:trPr>
        <w:tc>
          <w:tcPr>
            <w:tcW w:w="715" w:type="dxa"/>
            <w:shd w:val="clear" w:color="auto" w:fill="auto"/>
          </w:tcPr>
          <w:p w:rsidR="00DD76A9" w:rsidRPr="00511E81" w:rsidRDefault="00DD76A9" w:rsidP="00DD76A9">
            <w:pPr>
              <w:rPr>
                <w:rFonts w:ascii="Wingdings" w:hAnsi="Wingdings"/>
                <w:sz w:val="32"/>
              </w:rPr>
            </w:pPr>
          </w:p>
        </w:tc>
        <w:tc>
          <w:tcPr>
            <w:tcW w:w="7110" w:type="dxa"/>
            <w:gridSpan w:val="2"/>
            <w:shd w:val="clear" w:color="auto" w:fill="auto"/>
          </w:tcPr>
          <w:p w:rsidR="00DD76A9" w:rsidRPr="00511E81" w:rsidRDefault="00DD76A9" w:rsidP="00D31E9A">
            <w:pPr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Early Planning Considerations</w:t>
            </w:r>
          </w:p>
        </w:tc>
        <w:tc>
          <w:tcPr>
            <w:tcW w:w="2491" w:type="dxa"/>
            <w:shd w:val="clear" w:color="auto" w:fill="auto"/>
          </w:tcPr>
          <w:p w:rsidR="00DD76A9" w:rsidRPr="00511E81" w:rsidRDefault="00DD76A9" w:rsidP="00D31E9A">
            <w:pPr>
              <w:rPr>
                <w:sz w:val="32"/>
              </w:rPr>
            </w:pPr>
          </w:p>
        </w:tc>
      </w:tr>
      <w:tr w:rsidR="00D31E9A" w:rsidTr="00511E81">
        <w:trPr>
          <w:trHeight w:val="380"/>
        </w:trPr>
        <w:tc>
          <w:tcPr>
            <w:tcW w:w="715" w:type="dxa"/>
            <w:shd w:val="clear" w:color="auto" w:fill="FBE4D5" w:themeFill="accent2" w:themeFillTint="33"/>
          </w:tcPr>
          <w:p w:rsidR="00D31E9A" w:rsidRPr="00511E81" w:rsidRDefault="00D31E9A" w:rsidP="00D31E9A">
            <w:pPr>
              <w:jc w:val="center"/>
              <w:rPr>
                <w:sz w:val="32"/>
              </w:rPr>
            </w:pPr>
            <w:r w:rsidRPr="00511E81">
              <w:rPr>
                <w:rFonts w:ascii="Wingdings" w:hAnsi="Wingdings"/>
                <w:sz w:val="32"/>
              </w:rPr>
              <w:t></w:t>
            </w:r>
          </w:p>
        </w:tc>
        <w:tc>
          <w:tcPr>
            <w:tcW w:w="7110" w:type="dxa"/>
            <w:gridSpan w:val="2"/>
            <w:shd w:val="clear" w:color="auto" w:fill="FBE4D5" w:themeFill="accent2" w:themeFillTint="33"/>
          </w:tcPr>
          <w:p w:rsidR="00D31E9A" w:rsidRPr="00511E81" w:rsidRDefault="00D31E9A" w:rsidP="00D31E9A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 xml:space="preserve">Description/Guidelines 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Comments:</w:t>
            </w:r>
          </w:p>
        </w:tc>
      </w:tr>
      <w:tr w:rsidR="00DD76A9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Consider the date and time of your event to minimize barriers related to length of day, number and duration of breaks throughout the event, availability of transportation, and religious observances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511E8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Default="002B270D" w:rsidP="00D31E9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Provide a weeks’</w:t>
            </w:r>
            <w:r w:rsidRPr="00511E81">
              <w:rPr>
                <w:i/>
                <w:sz w:val="32"/>
              </w:rPr>
              <w:t xml:space="preserve"> notice</w:t>
            </w:r>
            <w:r w:rsidR="00D31E9A" w:rsidRPr="00511E81">
              <w:rPr>
                <w:i/>
                <w:sz w:val="32"/>
              </w:rPr>
              <w:t xml:space="preserve"> about the action</w:t>
            </w:r>
            <w:r>
              <w:rPr>
                <w:i/>
                <w:sz w:val="32"/>
              </w:rPr>
              <w:t xml:space="preserve"> or </w:t>
            </w:r>
          </w:p>
          <w:p w:rsidR="00511E81" w:rsidRPr="00511E81" w:rsidRDefault="00511E81" w:rsidP="00D31E9A">
            <w:pPr>
              <w:rPr>
                <w:i/>
                <w:sz w:val="32"/>
              </w:rPr>
            </w:pP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511E8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2B270D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 xml:space="preserve">Provide at least </w:t>
            </w:r>
            <w:r w:rsidR="002B270D">
              <w:rPr>
                <w:i/>
                <w:sz w:val="32"/>
              </w:rPr>
              <w:t>72 hours’</w:t>
            </w:r>
            <w:r w:rsidR="002B270D" w:rsidRPr="00511E81">
              <w:rPr>
                <w:i/>
                <w:sz w:val="32"/>
              </w:rPr>
              <w:t xml:space="preserve"> notice</w:t>
            </w:r>
            <w:bookmarkStart w:id="0" w:name="_GoBack"/>
            <w:bookmarkEnd w:id="0"/>
            <w:r w:rsidRPr="00511E81">
              <w:rPr>
                <w:i/>
                <w:sz w:val="32"/>
              </w:rPr>
              <w:t xml:space="preserve"> about the meeting or event location to ensure  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77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Designate an Access Coordinator on your team for event or meeting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77"/>
        </w:trPr>
        <w:tc>
          <w:tcPr>
            <w:tcW w:w="715" w:type="dxa"/>
            <w:shd w:val="clear" w:color="auto" w:fill="D9D9D9" w:themeFill="background1" w:themeFillShade="D9"/>
          </w:tcPr>
          <w:p w:rsidR="00DD76A9" w:rsidRPr="00511E81" w:rsidRDefault="00DD76A9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DD76A9" w:rsidRPr="00511E81" w:rsidRDefault="00DD76A9" w:rsidP="00DD76A9">
            <w:pPr>
              <w:jc w:val="center"/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Access Coordinator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DD76A9" w:rsidRPr="00511E81" w:rsidRDefault="00DD76A9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77"/>
        </w:trPr>
        <w:tc>
          <w:tcPr>
            <w:tcW w:w="715" w:type="dxa"/>
          </w:tcPr>
          <w:p w:rsidR="00DD76A9" w:rsidRPr="00511E81" w:rsidRDefault="00DD76A9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D76A9" w:rsidRPr="00511E81" w:rsidRDefault="00511E81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Receive, confirm, and track all access requests from participants.</w:t>
            </w:r>
          </w:p>
        </w:tc>
        <w:tc>
          <w:tcPr>
            <w:tcW w:w="2491" w:type="dxa"/>
          </w:tcPr>
          <w:p w:rsidR="00DD76A9" w:rsidRPr="00511E81" w:rsidRDefault="00DD76A9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77"/>
        </w:trPr>
        <w:tc>
          <w:tcPr>
            <w:tcW w:w="715" w:type="dxa"/>
          </w:tcPr>
          <w:p w:rsidR="00DD76A9" w:rsidRPr="00511E81" w:rsidRDefault="00DD76A9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D76A9" w:rsidRDefault="00511E81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Manage and implement accommodations</w:t>
            </w:r>
          </w:p>
          <w:p w:rsidR="00511E81" w:rsidRPr="00511E81" w:rsidRDefault="00511E81" w:rsidP="00D31E9A">
            <w:pPr>
              <w:rPr>
                <w:sz w:val="32"/>
              </w:rPr>
            </w:pPr>
          </w:p>
        </w:tc>
        <w:tc>
          <w:tcPr>
            <w:tcW w:w="2491" w:type="dxa"/>
          </w:tcPr>
          <w:p w:rsidR="00DD76A9" w:rsidRPr="00511E81" w:rsidRDefault="00DD76A9" w:rsidP="00D31E9A">
            <w:pPr>
              <w:rPr>
                <w:sz w:val="32"/>
              </w:rPr>
            </w:pPr>
          </w:p>
        </w:tc>
      </w:tr>
      <w:tr w:rsidR="00511E81" w:rsidTr="00511E81">
        <w:trPr>
          <w:trHeight w:val="377"/>
        </w:trPr>
        <w:tc>
          <w:tcPr>
            <w:tcW w:w="715" w:type="dxa"/>
          </w:tcPr>
          <w:p w:rsidR="00511E81" w:rsidRPr="00511E81" w:rsidRDefault="00511E8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511E81" w:rsidRPr="00511E81" w:rsidRDefault="00511E81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Communicate accommodations arrangements with participants and staff</w:t>
            </w:r>
          </w:p>
        </w:tc>
        <w:tc>
          <w:tcPr>
            <w:tcW w:w="2491" w:type="dxa"/>
          </w:tcPr>
          <w:p w:rsidR="00511E81" w:rsidRPr="00511E81" w:rsidRDefault="00511E81" w:rsidP="00D31E9A">
            <w:pPr>
              <w:rPr>
                <w:sz w:val="32"/>
              </w:rPr>
            </w:pPr>
          </w:p>
        </w:tc>
      </w:tr>
      <w:tr w:rsidR="00511E81" w:rsidTr="00511E81">
        <w:trPr>
          <w:trHeight w:val="377"/>
        </w:trPr>
        <w:tc>
          <w:tcPr>
            <w:tcW w:w="715" w:type="dxa"/>
          </w:tcPr>
          <w:p w:rsidR="00511E81" w:rsidRPr="00511E81" w:rsidRDefault="00511E8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511E81" w:rsidRPr="00511E81" w:rsidRDefault="00511E81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Identify assistants who will be available to help with access-related tasks</w:t>
            </w:r>
          </w:p>
        </w:tc>
        <w:tc>
          <w:tcPr>
            <w:tcW w:w="2491" w:type="dxa"/>
          </w:tcPr>
          <w:p w:rsidR="00511E81" w:rsidRPr="00511E81" w:rsidRDefault="00511E81" w:rsidP="00D31E9A">
            <w:pPr>
              <w:rPr>
                <w:sz w:val="32"/>
              </w:rPr>
            </w:pPr>
          </w:p>
        </w:tc>
      </w:tr>
      <w:tr w:rsidR="00D31E9A" w:rsidTr="00511E81">
        <w:trPr>
          <w:trHeight w:val="399"/>
        </w:trPr>
        <w:tc>
          <w:tcPr>
            <w:tcW w:w="715" w:type="dxa"/>
            <w:shd w:val="clear" w:color="auto" w:fill="FFFFFF" w:themeFill="background1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  <w:shd w:val="clear" w:color="auto" w:fill="FFFFFF" w:themeFill="background1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b/>
                <w:sz w:val="32"/>
              </w:rPr>
              <w:t>Venue</w:t>
            </w:r>
            <w:r w:rsidRPr="00511E81">
              <w:rPr>
                <w:sz w:val="32"/>
              </w:rPr>
              <w:t xml:space="preserve">—conduct an early site visit to clarify accessibility </w:t>
            </w:r>
          </w:p>
        </w:tc>
        <w:tc>
          <w:tcPr>
            <w:tcW w:w="2491" w:type="dxa"/>
            <w:shd w:val="clear" w:color="auto" w:fill="FFFFFF" w:themeFill="background1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511E81" w:rsidTr="00511E81">
        <w:trPr>
          <w:trHeight w:val="399"/>
        </w:trPr>
        <w:tc>
          <w:tcPr>
            <w:tcW w:w="715" w:type="dxa"/>
            <w:shd w:val="clear" w:color="auto" w:fill="FBE4D5" w:themeFill="accent2" w:themeFillTint="33"/>
          </w:tcPr>
          <w:p w:rsidR="00D31E9A" w:rsidRPr="00511E81" w:rsidRDefault="00D31E9A" w:rsidP="00D31E9A">
            <w:pPr>
              <w:jc w:val="center"/>
              <w:rPr>
                <w:sz w:val="32"/>
              </w:rPr>
            </w:pPr>
            <w:r w:rsidRPr="00511E81">
              <w:rPr>
                <w:rFonts w:ascii="Wingdings" w:hAnsi="Wingdings"/>
                <w:sz w:val="32"/>
              </w:rPr>
              <w:t></w:t>
            </w:r>
          </w:p>
        </w:tc>
        <w:tc>
          <w:tcPr>
            <w:tcW w:w="7110" w:type="dxa"/>
            <w:gridSpan w:val="2"/>
            <w:shd w:val="clear" w:color="auto" w:fill="FBE4D5" w:themeFill="accent2" w:themeFillTint="33"/>
          </w:tcPr>
          <w:p w:rsidR="00D31E9A" w:rsidRPr="00511E81" w:rsidRDefault="00D31E9A" w:rsidP="00D31E9A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 xml:space="preserve">Description/Guidelines 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Comments:</w:t>
            </w:r>
          </w:p>
        </w:tc>
      </w:tr>
      <w:tr w:rsidR="00DD76A9" w:rsidTr="00511E81">
        <w:trPr>
          <w:trHeight w:val="377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 xml:space="preserve">All doorways are 36-48 inches wide (ADA compliance is 36 inches) </w:t>
            </w:r>
          </w:p>
          <w:p w:rsidR="00511E81" w:rsidRPr="00511E81" w:rsidRDefault="00511E81" w:rsidP="00D31E9A">
            <w:pPr>
              <w:rPr>
                <w:sz w:val="32"/>
              </w:rPr>
            </w:pP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Must have ramp or be ground level with no door frame.  If there is a “hump” with the door-frame, it must not be more than an inch or less.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511E8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511E81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An elevator must be available if the meeting or event is on the 2</w:t>
            </w:r>
            <w:r w:rsidRPr="00511E81">
              <w:rPr>
                <w:sz w:val="32"/>
                <w:vertAlign w:val="superscript"/>
              </w:rPr>
              <w:t>nd</w:t>
            </w:r>
            <w:r w:rsidRPr="00511E81">
              <w:rPr>
                <w:sz w:val="32"/>
              </w:rPr>
              <w:t xml:space="preserve"> floor or higher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99"/>
        </w:trPr>
        <w:tc>
          <w:tcPr>
            <w:tcW w:w="715" w:type="dxa"/>
            <w:shd w:val="clear" w:color="auto" w:fill="D9D9D9" w:themeFill="background1" w:themeFillShade="D9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D31E9A" w:rsidRPr="00511E81" w:rsidRDefault="00D31E9A" w:rsidP="00D31E9A">
            <w:pPr>
              <w:jc w:val="center"/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Room Set-Up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 xml:space="preserve">The room set-up must allow enough space for wheelchair users to maneuver around a table and throughout the meeting space.  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Leave space for wheelchair users close to the door in the room so that there is less maneuvering needed.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511E8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Accessible tables have a central leg and a height of 28-31 inches so that wheelchairs slide underneath freely, making the table usable.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99"/>
        </w:trPr>
        <w:tc>
          <w:tcPr>
            <w:tcW w:w="715" w:type="dxa"/>
            <w:shd w:val="clear" w:color="auto" w:fill="D9D9D9" w:themeFill="background1" w:themeFillShade="D9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D31E9A" w:rsidRPr="00511E81" w:rsidRDefault="00D31E9A" w:rsidP="00D31E9A">
            <w:pPr>
              <w:jc w:val="center"/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Bathroom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Restroom stall’s doorway must also be at least 36 inches</w:t>
            </w:r>
          </w:p>
          <w:p w:rsidR="00511E81" w:rsidRPr="00511E81" w:rsidRDefault="00511E81" w:rsidP="00D31E9A">
            <w:pPr>
              <w:rPr>
                <w:sz w:val="32"/>
              </w:rPr>
            </w:pP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Restroom stall must have a diagonal of at least 80-100 inches to provide a turning radius for people using wheelchairs.  The ideal diagonal measurement between the stall wall and the toilet is 70 inches, and from wall to wall is 100 inches.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Restroom stall must have grab bars:  Those are the metal bars on the wall which enable someone with a disability to transfer from a chair or walker to sitting on the toilet.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Toilets are placed lower than normal, only 18 inches from the floor.</w:t>
            </w:r>
          </w:p>
          <w:p w:rsidR="00F43151" w:rsidRPr="00511E81" w:rsidRDefault="00F43151" w:rsidP="00D31E9A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>Alternative: Having a Personal Care Assistant available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Interpreters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99"/>
        </w:trPr>
        <w:tc>
          <w:tcPr>
            <w:tcW w:w="715" w:type="dxa"/>
            <w:shd w:val="clear" w:color="auto" w:fill="FBE4D5" w:themeFill="accent2" w:themeFillTint="33"/>
          </w:tcPr>
          <w:p w:rsidR="00D31E9A" w:rsidRPr="00511E81" w:rsidRDefault="00D31E9A" w:rsidP="00D31E9A">
            <w:pPr>
              <w:jc w:val="center"/>
              <w:rPr>
                <w:sz w:val="32"/>
              </w:rPr>
            </w:pPr>
            <w:r w:rsidRPr="00511E81">
              <w:rPr>
                <w:rFonts w:ascii="Wingdings" w:hAnsi="Wingdings"/>
                <w:sz w:val="32"/>
              </w:rPr>
              <w:t></w:t>
            </w:r>
          </w:p>
        </w:tc>
        <w:tc>
          <w:tcPr>
            <w:tcW w:w="7110" w:type="dxa"/>
            <w:gridSpan w:val="2"/>
            <w:shd w:val="clear" w:color="auto" w:fill="FBE4D5" w:themeFill="accent2" w:themeFillTint="33"/>
          </w:tcPr>
          <w:p w:rsidR="00D31E9A" w:rsidRPr="00511E81" w:rsidRDefault="00D31E9A" w:rsidP="00D31E9A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 xml:space="preserve">Description/Guidelines 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Comments:</w:t>
            </w: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 xml:space="preserve">Interpreters should be given 3-4 days’ notice of the time and scheduling of the meeting or event. 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31E9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For meetings longer than 2 hours, two sign language interpreters must be provided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  <w:shd w:val="clear" w:color="auto" w:fill="D9D9D9" w:themeFill="background1" w:themeFillShade="D9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F43151" w:rsidRPr="00511E81" w:rsidRDefault="00F43151" w:rsidP="0010461A">
            <w:pPr>
              <w:jc w:val="center"/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Deaf and H</w:t>
            </w:r>
            <w:r w:rsidR="0010461A" w:rsidRPr="00511E81">
              <w:rPr>
                <w:b/>
                <w:sz w:val="32"/>
              </w:rPr>
              <w:t>ard of Hearing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10461A" w:rsidTr="00511E81">
        <w:trPr>
          <w:trHeight w:val="399"/>
        </w:trPr>
        <w:tc>
          <w:tcPr>
            <w:tcW w:w="715" w:type="dxa"/>
          </w:tcPr>
          <w:p w:rsidR="0010461A" w:rsidRPr="00511E81" w:rsidRDefault="0010461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10461A" w:rsidRDefault="0010461A" w:rsidP="0010461A">
            <w:pPr>
              <w:rPr>
                <w:sz w:val="32"/>
              </w:rPr>
            </w:pPr>
            <w:r w:rsidRPr="00511E81">
              <w:rPr>
                <w:sz w:val="32"/>
              </w:rPr>
              <w:t>Have pen and paper available to everyone</w:t>
            </w:r>
          </w:p>
          <w:p w:rsidR="00511E81" w:rsidRPr="00511E81" w:rsidRDefault="00511E81" w:rsidP="0010461A">
            <w:pPr>
              <w:rPr>
                <w:sz w:val="32"/>
              </w:rPr>
            </w:pPr>
          </w:p>
        </w:tc>
        <w:tc>
          <w:tcPr>
            <w:tcW w:w="2491" w:type="dxa"/>
          </w:tcPr>
          <w:p w:rsidR="0010461A" w:rsidRPr="00511E81" w:rsidRDefault="0010461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 xml:space="preserve">Have a visual presentation available using words and pictures 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DD76A9" w:rsidP="00D31E9A">
            <w:pPr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Materials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DD76A9" w:rsidTr="00511E81">
        <w:trPr>
          <w:trHeight w:val="399"/>
        </w:trPr>
        <w:tc>
          <w:tcPr>
            <w:tcW w:w="715" w:type="dxa"/>
            <w:shd w:val="clear" w:color="auto" w:fill="FBE4D5" w:themeFill="accent2" w:themeFillTint="33"/>
          </w:tcPr>
          <w:p w:rsidR="00DD76A9" w:rsidRPr="00511E81" w:rsidRDefault="00DD76A9" w:rsidP="00DD76A9">
            <w:pPr>
              <w:jc w:val="center"/>
              <w:rPr>
                <w:sz w:val="32"/>
              </w:rPr>
            </w:pPr>
            <w:r w:rsidRPr="00511E81">
              <w:rPr>
                <w:rFonts w:ascii="Wingdings" w:hAnsi="Wingdings"/>
                <w:sz w:val="32"/>
              </w:rPr>
              <w:t></w:t>
            </w:r>
          </w:p>
        </w:tc>
        <w:tc>
          <w:tcPr>
            <w:tcW w:w="7110" w:type="dxa"/>
            <w:gridSpan w:val="2"/>
            <w:shd w:val="clear" w:color="auto" w:fill="FBE4D5" w:themeFill="accent2" w:themeFillTint="33"/>
          </w:tcPr>
          <w:p w:rsidR="00DD76A9" w:rsidRPr="00511E81" w:rsidRDefault="00DD76A9" w:rsidP="00DD76A9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 xml:space="preserve">Description/Guidelines 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DD76A9" w:rsidRPr="00511E81" w:rsidRDefault="00DD76A9" w:rsidP="00DD76A9">
            <w:pPr>
              <w:rPr>
                <w:sz w:val="32"/>
              </w:rPr>
            </w:pPr>
            <w:r w:rsidRPr="00511E81">
              <w:rPr>
                <w:sz w:val="32"/>
              </w:rPr>
              <w:t>Comments:</w:t>
            </w: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F43151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Provide copies in Braille (as requested). Handouts should also be available in large print and digitally on the event/meeting day.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F43151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Check and update all presenter’s materials for accessibility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F43151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Consider the color choices and contrast of all materials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D31E9A" w:rsidRPr="00511E81" w:rsidRDefault="00F43151" w:rsidP="00D31E9A">
            <w:pPr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 xml:space="preserve">Emotional Accommodations </w:t>
            </w:r>
          </w:p>
        </w:tc>
        <w:tc>
          <w:tcPr>
            <w:tcW w:w="2491" w:type="dxa"/>
          </w:tcPr>
          <w:p w:rsidR="00D31E9A" w:rsidRPr="00511E81" w:rsidRDefault="00D31E9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  <w:shd w:val="clear" w:color="auto" w:fill="FBE4D5" w:themeFill="accent2" w:themeFillTint="33"/>
          </w:tcPr>
          <w:p w:rsidR="00F43151" w:rsidRPr="00511E81" w:rsidRDefault="00F43151" w:rsidP="00F43151">
            <w:pPr>
              <w:jc w:val="center"/>
              <w:rPr>
                <w:sz w:val="32"/>
              </w:rPr>
            </w:pPr>
            <w:r w:rsidRPr="00511E81">
              <w:rPr>
                <w:rFonts w:ascii="Wingdings" w:hAnsi="Wingdings"/>
                <w:sz w:val="32"/>
              </w:rPr>
              <w:t></w:t>
            </w:r>
          </w:p>
        </w:tc>
        <w:tc>
          <w:tcPr>
            <w:tcW w:w="7110" w:type="dxa"/>
            <w:gridSpan w:val="2"/>
            <w:shd w:val="clear" w:color="auto" w:fill="FBE4D5" w:themeFill="accent2" w:themeFillTint="33"/>
          </w:tcPr>
          <w:p w:rsidR="00F43151" w:rsidRPr="00511E81" w:rsidRDefault="00F43151" w:rsidP="00F43151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 xml:space="preserve">Description/Guidelines 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F43151" w:rsidRPr="00511E81" w:rsidRDefault="00F43151" w:rsidP="00F43151">
            <w:pPr>
              <w:rPr>
                <w:sz w:val="32"/>
              </w:rPr>
            </w:pPr>
            <w:r w:rsidRPr="00511E81">
              <w:rPr>
                <w:sz w:val="32"/>
              </w:rPr>
              <w:t>Comments:</w:t>
            </w: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1F1D79">
            <w:pPr>
              <w:rPr>
                <w:sz w:val="32"/>
              </w:rPr>
            </w:pPr>
            <w:r w:rsidRPr="00511E81">
              <w:rPr>
                <w:sz w:val="32"/>
              </w:rPr>
              <w:t xml:space="preserve">Have a </w:t>
            </w:r>
            <w:r w:rsidR="001F1D79">
              <w:rPr>
                <w:sz w:val="32"/>
              </w:rPr>
              <w:t>comfortable</w:t>
            </w:r>
            <w:r w:rsidRPr="00511E81">
              <w:rPr>
                <w:sz w:val="32"/>
              </w:rPr>
              <w:t xml:space="preserve"> space available with low lighting 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Facilitate ground rules that will help to build a safe and welcoming space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 xml:space="preserve">Encourage Stemming </w:t>
            </w:r>
          </w:p>
          <w:p w:rsidR="0010461A" w:rsidRPr="00511E81" w:rsidRDefault="0010461A" w:rsidP="00D31E9A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>Optional: Have trinkets available in the middle of the tables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D31E9A">
            <w:pPr>
              <w:rPr>
                <w:b/>
                <w:sz w:val="32"/>
              </w:rPr>
            </w:pPr>
            <w:r w:rsidRPr="00511E81">
              <w:rPr>
                <w:b/>
                <w:sz w:val="32"/>
              </w:rPr>
              <w:t>Event Day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10461A" w:rsidTr="00511E81">
        <w:trPr>
          <w:trHeight w:val="399"/>
        </w:trPr>
        <w:tc>
          <w:tcPr>
            <w:tcW w:w="715" w:type="dxa"/>
            <w:shd w:val="clear" w:color="auto" w:fill="FBE4D5" w:themeFill="accent2" w:themeFillTint="33"/>
          </w:tcPr>
          <w:p w:rsidR="0010461A" w:rsidRPr="00511E81" w:rsidRDefault="0010461A" w:rsidP="0010461A">
            <w:pPr>
              <w:jc w:val="center"/>
              <w:rPr>
                <w:sz w:val="32"/>
              </w:rPr>
            </w:pPr>
            <w:r w:rsidRPr="00511E81">
              <w:rPr>
                <w:rFonts w:ascii="Wingdings" w:hAnsi="Wingdings"/>
                <w:sz w:val="32"/>
              </w:rPr>
              <w:t></w:t>
            </w:r>
          </w:p>
        </w:tc>
        <w:tc>
          <w:tcPr>
            <w:tcW w:w="7110" w:type="dxa"/>
            <w:gridSpan w:val="2"/>
            <w:shd w:val="clear" w:color="auto" w:fill="FBE4D5" w:themeFill="accent2" w:themeFillTint="33"/>
          </w:tcPr>
          <w:p w:rsidR="0010461A" w:rsidRPr="00511E81" w:rsidRDefault="0010461A" w:rsidP="0010461A">
            <w:pPr>
              <w:rPr>
                <w:i/>
                <w:sz w:val="32"/>
              </w:rPr>
            </w:pPr>
            <w:r w:rsidRPr="00511E81">
              <w:rPr>
                <w:i/>
                <w:sz w:val="32"/>
              </w:rPr>
              <w:t xml:space="preserve">Description/Guidelines </w:t>
            </w:r>
          </w:p>
        </w:tc>
        <w:tc>
          <w:tcPr>
            <w:tcW w:w="2491" w:type="dxa"/>
            <w:shd w:val="clear" w:color="auto" w:fill="FBE4D5" w:themeFill="accent2" w:themeFillTint="33"/>
          </w:tcPr>
          <w:p w:rsidR="0010461A" w:rsidRPr="00511E81" w:rsidRDefault="0010461A" w:rsidP="0010461A">
            <w:pPr>
              <w:rPr>
                <w:sz w:val="32"/>
              </w:rPr>
            </w:pPr>
            <w:r w:rsidRPr="00511E81">
              <w:rPr>
                <w:sz w:val="32"/>
              </w:rPr>
              <w:t>Comments:</w:t>
            </w: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Post directional signs to gathering space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10461A" w:rsidTr="00511E81">
        <w:trPr>
          <w:trHeight w:val="399"/>
        </w:trPr>
        <w:tc>
          <w:tcPr>
            <w:tcW w:w="715" w:type="dxa"/>
          </w:tcPr>
          <w:p w:rsidR="0010461A" w:rsidRPr="00511E81" w:rsidRDefault="0010461A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10461A" w:rsidRPr="00511E81" w:rsidRDefault="0010461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 xml:space="preserve">Use an inclusive check-in process ( consider table height, amount of noise, flow of check-in process) </w:t>
            </w:r>
          </w:p>
        </w:tc>
        <w:tc>
          <w:tcPr>
            <w:tcW w:w="2491" w:type="dxa"/>
          </w:tcPr>
          <w:p w:rsidR="0010461A" w:rsidRPr="00511E81" w:rsidRDefault="0010461A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Set up clear and spacious paths outside and inside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  <w:tr w:rsidR="00F43151" w:rsidTr="00511E81">
        <w:trPr>
          <w:trHeight w:val="399"/>
        </w:trPr>
        <w:tc>
          <w:tcPr>
            <w:tcW w:w="715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  <w:tc>
          <w:tcPr>
            <w:tcW w:w="7110" w:type="dxa"/>
            <w:gridSpan w:val="2"/>
          </w:tcPr>
          <w:p w:rsidR="00F43151" w:rsidRPr="00511E81" w:rsidRDefault="0010461A" w:rsidP="00D31E9A">
            <w:pPr>
              <w:rPr>
                <w:sz w:val="32"/>
              </w:rPr>
            </w:pPr>
            <w:r w:rsidRPr="00511E81">
              <w:rPr>
                <w:sz w:val="32"/>
              </w:rPr>
              <w:t>Ask photographers not to use flash and to seek permission when photographing people</w:t>
            </w:r>
          </w:p>
        </w:tc>
        <w:tc>
          <w:tcPr>
            <w:tcW w:w="2491" w:type="dxa"/>
          </w:tcPr>
          <w:p w:rsidR="00F43151" w:rsidRPr="00511E81" w:rsidRDefault="00F43151" w:rsidP="00D31E9A">
            <w:pPr>
              <w:rPr>
                <w:sz w:val="32"/>
              </w:rPr>
            </w:pPr>
          </w:p>
        </w:tc>
      </w:tr>
    </w:tbl>
    <w:p w:rsidR="00B87380" w:rsidRDefault="002B270D"/>
    <w:p w:rsidR="00D31E9A" w:rsidRDefault="00D31E9A"/>
    <w:p w:rsidR="00D31E9A" w:rsidRDefault="00D31E9A"/>
    <w:p w:rsidR="00D31E9A" w:rsidRDefault="00D31E9A"/>
    <w:p w:rsidR="00D31E9A" w:rsidRDefault="00D31E9A"/>
    <w:p w:rsidR="00D31E9A" w:rsidRDefault="00D31E9A"/>
    <w:p w:rsidR="00D31E9A" w:rsidRDefault="00D31E9A"/>
    <w:sectPr w:rsidR="00D31E9A" w:rsidSect="00D13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D7"/>
    <w:rsid w:val="000456E2"/>
    <w:rsid w:val="0010461A"/>
    <w:rsid w:val="001F1D79"/>
    <w:rsid w:val="002077C0"/>
    <w:rsid w:val="002B270D"/>
    <w:rsid w:val="002B337F"/>
    <w:rsid w:val="003123F1"/>
    <w:rsid w:val="004C377E"/>
    <w:rsid w:val="00511E81"/>
    <w:rsid w:val="005623AC"/>
    <w:rsid w:val="00BB5904"/>
    <w:rsid w:val="00C35806"/>
    <w:rsid w:val="00C37FD7"/>
    <w:rsid w:val="00CA0FCE"/>
    <w:rsid w:val="00D1367C"/>
    <w:rsid w:val="00D31E9A"/>
    <w:rsid w:val="00D75469"/>
    <w:rsid w:val="00DD76A9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DD8F"/>
  <w15:chartTrackingRefBased/>
  <w15:docId w15:val="{EBC2971F-8F28-44EB-A6CA-592B0A8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7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6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Living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Finley</dc:creator>
  <cp:keywords/>
  <dc:description/>
  <cp:lastModifiedBy>Cathleen O'Brien</cp:lastModifiedBy>
  <cp:revision>3</cp:revision>
  <dcterms:created xsi:type="dcterms:W3CDTF">2018-10-12T18:46:00Z</dcterms:created>
  <dcterms:modified xsi:type="dcterms:W3CDTF">2019-09-18T15:36:00Z</dcterms:modified>
</cp:coreProperties>
</file>