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63003" w14:textId="77777777" w:rsidR="00DE775C" w:rsidRPr="000821CD" w:rsidRDefault="00DE775C" w:rsidP="00DE775C">
      <w:pPr>
        <w:spacing w:line="240" w:lineRule="auto"/>
        <w:rPr>
          <w:rFonts w:asciiTheme="minorHAnsi" w:hAnsiTheme="minorHAnsi" w:cstheme="minorHAnsi"/>
          <w:b/>
          <w:bCs/>
          <w:sz w:val="20"/>
          <w:szCs w:val="20"/>
        </w:rPr>
      </w:pPr>
      <w:r w:rsidRPr="000821CD">
        <w:rPr>
          <w:rFonts w:asciiTheme="minorHAnsi" w:hAnsiTheme="minorHAnsi" w:cstheme="minorHAnsi"/>
          <w:b/>
          <w:bCs/>
          <w:sz w:val="20"/>
          <w:szCs w:val="20"/>
        </w:rPr>
        <w:t>Current status of diversity in policing</w:t>
      </w:r>
    </w:p>
    <w:p w14:paraId="4428C611" w14:textId="5EE0024C" w:rsidR="00DE775C" w:rsidRPr="000821CD" w:rsidRDefault="00DE775C" w:rsidP="00DE775C">
      <w:pPr>
        <w:spacing w:line="240" w:lineRule="auto"/>
        <w:rPr>
          <w:rFonts w:asciiTheme="minorHAnsi" w:hAnsiTheme="minorHAnsi" w:cstheme="minorHAnsi"/>
          <w:sz w:val="20"/>
          <w:szCs w:val="20"/>
        </w:rPr>
      </w:pPr>
      <w:r w:rsidRPr="000821CD">
        <w:rPr>
          <w:rFonts w:asciiTheme="minorHAnsi" w:hAnsiTheme="minorHAnsi" w:cstheme="minorHAnsi"/>
          <w:sz w:val="20"/>
          <w:szCs w:val="20"/>
        </w:rPr>
        <w:t xml:space="preserve">Nationally, law enforcement agencies demonstrate limited diversity. </w:t>
      </w:r>
      <w:r w:rsidR="00904013" w:rsidRPr="000821CD">
        <w:rPr>
          <w:rFonts w:asciiTheme="minorHAnsi" w:hAnsiTheme="minorHAnsi" w:cstheme="minorHAnsi"/>
          <w:sz w:val="20"/>
          <w:szCs w:val="20"/>
        </w:rPr>
        <w:t xml:space="preserve">National </w:t>
      </w:r>
      <w:r w:rsidRPr="000821CD">
        <w:rPr>
          <w:rFonts w:asciiTheme="minorHAnsi" w:hAnsiTheme="minorHAnsi" w:cstheme="minorHAnsi"/>
          <w:sz w:val="20"/>
          <w:szCs w:val="20"/>
        </w:rPr>
        <w:t>data on law enforcement personnel</w:t>
      </w:r>
      <w:r w:rsidRPr="000821CD">
        <w:rPr>
          <w:rStyle w:val="FootnoteReference"/>
          <w:rFonts w:asciiTheme="minorHAnsi" w:hAnsiTheme="minorHAnsi" w:cstheme="minorHAnsi"/>
          <w:sz w:val="20"/>
          <w:szCs w:val="20"/>
        </w:rPr>
        <w:footnoteReference w:id="1"/>
      </w:r>
      <w:r w:rsidRPr="000821CD">
        <w:rPr>
          <w:rFonts w:asciiTheme="minorHAnsi" w:hAnsiTheme="minorHAnsi" w:cstheme="minorHAnsi"/>
          <w:sz w:val="20"/>
          <w:szCs w:val="20"/>
        </w:rPr>
        <w:t xml:space="preserve"> show that law enforcement officers in the United States are:</w:t>
      </w:r>
    </w:p>
    <w:p w14:paraId="204220EF" w14:textId="4AE93294" w:rsidR="00DE775C" w:rsidRPr="000821CD" w:rsidRDefault="00DE775C" w:rsidP="00634CD3">
      <w:pPr>
        <w:spacing w:line="240" w:lineRule="auto"/>
        <w:rPr>
          <w:rFonts w:asciiTheme="minorHAnsi" w:hAnsiTheme="minorHAnsi" w:cstheme="minorHAnsi"/>
          <w:sz w:val="20"/>
          <w:szCs w:val="20"/>
        </w:rPr>
      </w:pPr>
    </w:p>
    <w:p w14:paraId="7C7E62E8" w14:textId="4E63FF2D" w:rsidR="00DE775C" w:rsidRPr="000821CD" w:rsidRDefault="00DE775C" w:rsidP="00DE775C">
      <w:pPr>
        <w:pStyle w:val="ListParagraph"/>
        <w:numPr>
          <w:ilvl w:val="0"/>
          <w:numId w:val="10"/>
        </w:numPr>
        <w:spacing w:line="240" w:lineRule="auto"/>
        <w:rPr>
          <w:rFonts w:asciiTheme="minorHAnsi" w:hAnsiTheme="minorHAnsi" w:cstheme="minorHAnsi"/>
          <w:sz w:val="20"/>
          <w:szCs w:val="20"/>
        </w:rPr>
      </w:pPr>
      <w:r w:rsidRPr="000821CD">
        <w:rPr>
          <w:rFonts w:asciiTheme="minorHAnsi" w:hAnsiTheme="minorHAnsi" w:cstheme="minorHAnsi"/>
          <w:sz w:val="20"/>
          <w:szCs w:val="20"/>
        </w:rPr>
        <w:t>65.7% White</w:t>
      </w:r>
    </w:p>
    <w:p w14:paraId="6D4140A7" w14:textId="57DBC714" w:rsidR="00DE775C" w:rsidRPr="000821CD" w:rsidRDefault="00DE775C" w:rsidP="00DE775C">
      <w:pPr>
        <w:pStyle w:val="ListParagraph"/>
        <w:numPr>
          <w:ilvl w:val="0"/>
          <w:numId w:val="10"/>
        </w:numPr>
        <w:spacing w:line="240" w:lineRule="auto"/>
        <w:rPr>
          <w:rFonts w:asciiTheme="minorHAnsi" w:hAnsiTheme="minorHAnsi" w:cstheme="minorHAnsi"/>
          <w:sz w:val="20"/>
          <w:szCs w:val="20"/>
        </w:rPr>
      </w:pPr>
      <w:r w:rsidRPr="000821CD">
        <w:rPr>
          <w:rFonts w:asciiTheme="minorHAnsi" w:hAnsiTheme="minorHAnsi" w:cstheme="minorHAnsi"/>
          <w:sz w:val="20"/>
          <w:szCs w:val="20"/>
        </w:rPr>
        <w:t>10.4% Black</w:t>
      </w:r>
    </w:p>
    <w:p w14:paraId="174BF02E" w14:textId="4A0D8ECB" w:rsidR="00DE775C" w:rsidRPr="000821CD" w:rsidRDefault="00DE775C" w:rsidP="00DE775C">
      <w:pPr>
        <w:pStyle w:val="ListParagraph"/>
        <w:numPr>
          <w:ilvl w:val="0"/>
          <w:numId w:val="10"/>
        </w:numPr>
        <w:spacing w:line="240" w:lineRule="auto"/>
        <w:rPr>
          <w:rFonts w:asciiTheme="minorHAnsi" w:hAnsiTheme="minorHAnsi" w:cstheme="minorHAnsi"/>
          <w:sz w:val="20"/>
          <w:szCs w:val="20"/>
        </w:rPr>
      </w:pPr>
      <w:r w:rsidRPr="000821CD">
        <w:rPr>
          <w:rFonts w:asciiTheme="minorHAnsi" w:hAnsiTheme="minorHAnsi" w:cstheme="minorHAnsi"/>
          <w:sz w:val="20"/>
          <w:szCs w:val="20"/>
        </w:rPr>
        <w:t>19.8% Hispanic</w:t>
      </w:r>
    </w:p>
    <w:p w14:paraId="5F851853" w14:textId="0C7A139B" w:rsidR="00DE775C" w:rsidRPr="000821CD" w:rsidRDefault="00DE775C" w:rsidP="00DE775C">
      <w:pPr>
        <w:pStyle w:val="ListParagraph"/>
        <w:numPr>
          <w:ilvl w:val="0"/>
          <w:numId w:val="10"/>
        </w:numPr>
        <w:spacing w:line="240" w:lineRule="auto"/>
        <w:rPr>
          <w:rFonts w:asciiTheme="minorHAnsi" w:hAnsiTheme="minorHAnsi" w:cstheme="minorHAnsi"/>
          <w:sz w:val="20"/>
          <w:szCs w:val="20"/>
        </w:rPr>
      </w:pPr>
      <w:r w:rsidRPr="000821CD">
        <w:rPr>
          <w:rFonts w:asciiTheme="minorHAnsi" w:hAnsiTheme="minorHAnsi" w:cstheme="minorHAnsi"/>
          <w:sz w:val="20"/>
          <w:szCs w:val="20"/>
        </w:rPr>
        <w:t>2.9% Asian</w:t>
      </w:r>
    </w:p>
    <w:p w14:paraId="0E46AAE9" w14:textId="4AEB4703" w:rsidR="00DE775C" w:rsidRPr="000821CD" w:rsidRDefault="00DE775C" w:rsidP="00DE775C">
      <w:pPr>
        <w:pStyle w:val="ListParagraph"/>
        <w:numPr>
          <w:ilvl w:val="0"/>
          <w:numId w:val="10"/>
        </w:numPr>
        <w:spacing w:line="240" w:lineRule="auto"/>
        <w:rPr>
          <w:rFonts w:asciiTheme="minorHAnsi" w:hAnsiTheme="minorHAnsi" w:cstheme="minorHAnsi"/>
          <w:sz w:val="20"/>
          <w:szCs w:val="20"/>
        </w:rPr>
      </w:pPr>
      <w:r w:rsidRPr="000821CD">
        <w:rPr>
          <w:rFonts w:asciiTheme="minorHAnsi" w:hAnsiTheme="minorHAnsi" w:cstheme="minorHAnsi"/>
          <w:sz w:val="20"/>
          <w:szCs w:val="20"/>
        </w:rPr>
        <w:t>1.0% Native American</w:t>
      </w:r>
    </w:p>
    <w:p w14:paraId="0A229C0C" w14:textId="1FEBEF96" w:rsidR="00DE775C" w:rsidRPr="000821CD" w:rsidRDefault="00DE775C" w:rsidP="00DE775C">
      <w:pPr>
        <w:spacing w:line="240" w:lineRule="auto"/>
        <w:rPr>
          <w:rFonts w:asciiTheme="minorHAnsi" w:hAnsiTheme="minorHAnsi" w:cstheme="minorHAnsi"/>
          <w:sz w:val="20"/>
          <w:szCs w:val="20"/>
        </w:rPr>
      </w:pPr>
    </w:p>
    <w:p w14:paraId="39531726" w14:textId="11FE83F7" w:rsidR="00DE775C" w:rsidRPr="000821CD" w:rsidRDefault="00DE775C" w:rsidP="00DE775C">
      <w:pPr>
        <w:spacing w:line="240" w:lineRule="auto"/>
        <w:rPr>
          <w:rFonts w:asciiTheme="minorHAnsi" w:hAnsiTheme="minorHAnsi" w:cstheme="minorHAnsi"/>
          <w:sz w:val="20"/>
          <w:szCs w:val="20"/>
        </w:rPr>
      </w:pPr>
      <w:r w:rsidRPr="000821CD">
        <w:rPr>
          <w:rFonts w:asciiTheme="minorHAnsi" w:hAnsiTheme="minorHAnsi" w:cstheme="minorHAnsi"/>
          <w:sz w:val="20"/>
          <w:szCs w:val="20"/>
        </w:rPr>
        <w:t>These percentages have not changed significantly in the last two decades.</w:t>
      </w:r>
      <w:r w:rsidR="00C14005" w:rsidRPr="000821CD">
        <w:rPr>
          <w:rFonts w:asciiTheme="minorHAnsi" w:hAnsiTheme="minorHAnsi" w:cstheme="minorHAnsi"/>
          <w:sz w:val="20"/>
          <w:szCs w:val="20"/>
        </w:rPr>
        <w:t xml:space="preserve"> In Connecticut, agencies are</w:t>
      </w:r>
      <w:r w:rsidR="00C14005" w:rsidRPr="000821CD">
        <w:rPr>
          <w:rStyle w:val="FootnoteReference"/>
          <w:rFonts w:asciiTheme="minorHAnsi" w:hAnsiTheme="minorHAnsi" w:cstheme="minorHAnsi"/>
          <w:sz w:val="20"/>
          <w:szCs w:val="20"/>
        </w:rPr>
        <w:footnoteReference w:id="2"/>
      </w:r>
      <w:r w:rsidR="00C14005" w:rsidRPr="000821CD">
        <w:rPr>
          <w:rFonts w:asciiTheme="minorHAnsi" w:hAnsiTheme="minorHAnsi" w:cstheme="minorHAnsi"/>
          <w:sz w:val="20"/>
          <w:szCs w:val="20"/>
        </w:rPr>
        <w:t>:</w:t>
      </w:r>
    </w:p>
    <w:p w14:paraId="5479900C" w14:textId="5697ED5B" w:rsidR="00C14005" w:rsidRPr="000821CD" w:rsidRDefault="00C14005" w:rsidP="00DE775C">
      <w:pPr>
        <w:spacing w:line="240" w:lineRule="auto"/>
        <w:rPr>
          <w:rFonts w:asciiTheme="minorHAnsi" w:hAnsiTheme="minorHAns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270"/>
        <w:gridCol w:w="905"/>
        <w:gridCol w:w="445"/>
        <w:gridCol w:w="1075"/>
      </w:tblGrid>
      <w:tr w:rsidR="00C14005" w:rsidRPr="000821CD" w14:paraId="50975FEB" w14:textId="77777777" w:rsidTr="00634CD3">
        <w:tc>
          <w:tcPr>
            <w:tcW w:w="1615" w:type="dxa"/>
            <w:tcBorders>
              <w:top w:val="single" w:sz="4" w:space="0" w:color="auto"/>
              <w:bottom w:val="single" w:sz="4" w:space="0" w:color="auto"/>
            </w:tcBorders>
          </w:tcPr>
          <w:p w14:paraId="24979AB5" w14:textId="77777777" w:rsidR="00C14005" w:rsidRPr="000821CD" w:rsidRDefault="00C14005" w:rsidP="00DE775C">
            <w:pPr>
              <w:rPr>
                <w:rFonts w:asciiTheme="minorHAnsi" w:hAnsiTheme="minorHAnsi" w:cstheme="minorHAnsi"/>
                <w:sz w:val="20"/>
                <w:szCs w:val="20"/>
              </w:rPr>
            </w:pPr>
          </w:p>
        </w:tc>
        <w:tc>
          <w:tcPr>
            <w:tcW w:w="1175" w:type="dxa"/>
            <w:gridSpan w:val="2"/>
            <w:tcBorders>
              <w:top w:val="single" w:sz="4" w:space="0" w:color="auto"/>
              <w:bottom w:val="single" w:sz="4" w:space="0" w:color="auto"/>
            </w:tcBorders>
          </w:tcPr>
          <w:p w14:paraId="6716C77A" w14:textId="30378F31" w:rsidR="00C14005" w:rsidRPr="000821CD" w:rsidRDefault="00634CD3" w:rsidP="00634CD3">
            <w:pPr>
              <w:jc w:val="center"/>
              <w:rPr>
                <w:rFonts w:asciiTheme="minorHAnsi" w:hAnsiTheme="minorHAnsi" w:cstheme="minorHAnsi"/>
                <w:sz w:val="20"/>
                <w:szCs w:val="20"/>
              </w:rPr>
            </w:pPr>
            <w:r w:rsidRPr="000821CD">
              <w:rPr>
                <w:rFonts w:asciiTheme="minorHAnsi" w:hAnsiTheme="minorHAnsi" w:cstheme="minorHAnsi"/>
                <w:sz w:val="20"/>
                <w:szCs w:val="20"/>
              </w:rPr>
              <w:t>All agencies</w:t>
            </w:r>
          </w:p>
        </w:tc>
        <w:tc>
          <w:tcPr>
            <w:tcW w:w="1520" w:type="dxa"/>
            <w:gridSpan w:val="2"/>
            <w:tcBorders>
              <w:top w:val="single" w:sz="4" w:space="0" w:color="auto"/>
              <w:bottom w:val="single" w:sz="4" w:space="0" w:color="auto"/>
            </w:tcBorders>
          </w:tcPr>
          <w:p w14:paraId="6FEF7639" w14:textId="4F027177" w:rsidR="00C14005" w:rsidRPr="000821CD" w:rsidRDefault="00634CD3" w:rsidP="00634CD3">
            <w:pPr>
              <w:jc w:val="center"/>
              <w:rPr>
                <w:rFonts w:asciiTheme="minorHAnsi" w:hAnsiTheme="minorHAnsi" w:cstheme="minorHAnsi"/>
                <w:sz w:val="20"/>
                <w:szCs w:val="20"/>
              </w:rPr>
            </w:pPr>
            <w:r w:rsidRPr="000821CD">
              <w:rPr>
                <w:rFonts w:asciiTheme="minorHAnsi" w:hAnsiTheme="minorHAnsi" w:cstheme="minorHAnsi"/>
                <w:sz w:val="20"/>
                <w:szCs w:val="20"/>
              </w:rPr>
              <w:t>Large agencies</w:t>
            </w:r>
            <w:r w:rsidRPr="000821CD">
              <w:rPr>
                <w:rStyle w:val="FootnoteReference"/>
                <w:rFonts w:asciiTheme="minorHAnsi" w:hAnsiTheme="minorHAnsi" w:cstheme="minorHAnsi"/>
                <w:sz w:val="20"/>
                <w:szCs w:val="20"/>
              </w:rPr>
              <w:footnoteReference w:id="3"/>
            </w:r>
          </w:p>
        </w:tc>
      </w:tr>
      <w:tr w:rsidR="00C14005" w:rsidRPr="000821CD" w14:paraId="6D4D4C24" w14:textId="77777777" w:rsidTr="00634CD3">
        <w:tc>
          <w:tcPr>
            <w:tcW w:w="1885" w:type="dxa"/>
            <w:gridSpan w:val="2"/>
            <w:tcBorders>
              <w:top w:val="single" w:sz="4" w:space="0" w:color="auto"/>
            </w:tcBorders>
          </w:tcPr>
          <w:p w14:paraId="38A2AB4F" w14:textId="095DECBC" w:rsidR="00C14005" w:rsidRPr="000821CD" w:rsidRDefault="00C14005" w:rsidP="00C14005">
            <w:pPr>
              <w:rPr>
                <w:rFonts w:asciiTheme="minorHAnsi" w:hAnsiTheme="minorHAnsi" w:cstheme="minorHAnsi"/>
                <w:sz w:val="20"/>
                <w:szCs w:val="20"/>
              </w:rPr>
            </w:pPr>
            <w:r w:rsidRPr="000821CD">
              <w:rPr>
                <w:rFonts w:asciiTheme="minorHAnsi" w:hAnsiTheme="minorHAnsi" w:cstheme="minorHAnsi"/>
                <w:sz w:val="20"/>
                <w:szCs w:val="20"/>
              </w:rPr>
              <w:t>White</w:t>
            </w:r>
          </w:p>
        </w:tc>
        <w:tc>
          <w:tcPr>
            <w:tcW w:w="1350" w:type="dxa"/>
            <w:gridSpan w:val="2"/>
            <w:tcBorders>
              <w:top w:val="single" w:sz="4" w:space="0" w:color="auto"/>
            </w:tcBorders>
          </w:tcPr>
          <w:p w14:paraId="5392C75F" w14:textId="04B67711" w:rsidR="00C14005" w:rsidRPr="000821CD" w:rsidRDefault="00634CD3" w:rsidP="00C14005">
            <w:pPr>
              <w:rPr>
                <w:rFonts w:asciiTheme="minorHAnsi" w:hAnsiTheme="minorHAnsi" w:cstheme="minorHAnsi"/>
                <w:sz w:val="20"/>
                <w:szCs w:val="20"/>
              </w:rPr>
            </w:pPr>
            <w:r w:rsidRPr="000821CD">
              <w:rPr>
                <w:rFonts w:asciiTheme="minorHAnsi" w:hAnsiTheme="minorHAnsi" w:cstheme="minorHAnsi"/>
                <w:sz w:val="20"/>
                <w:szCs w:val="20"/>
              </w:rPr>
              <w:t>84.1%</w:t>
            </w:r>
          </w:p>
        </w:tc>
        <w:tc>
          <w:tcPr>
            <w:tcW w:w="1075" w:type="dxa"/>
            <w:tcBorders>
              <w:top w:val="single" w:sz="4" w:space="0" w:color="auto"/>
            </w:tcBorders>
          </w:tcPr>
          <w:p w14:paraId="40F760E7" w14:textId="49229A4F" w:rsidR="00C14005" w:rsidRPr="000821CD" w:rsidRDefault="00634CD3" w:rsidP="00C14005">
            <w:pPr>
              <w:rPr>
                <w:rFonts w:asciiTheme="minorHAnsi" w:hAnsiTheme="minorHAnsi" w:cstheme="minorHAnsi"/>
                <w:sz w:val="20"/>
                <w:szCs w:val="20"/>
              </w:rPr>
            </w:pPr>
            <w:r w:rsidRPr="000821CD">
              <w:rPr>
                <w:rFonts w:asciiTheme="minorHAnsi" w:hAnsiTheme="minorHAnsi" w:cstheme="minorHAnsi"/>
                <w:sz w:val="20"/>
                <w:szCs w:val="20"/>
              </w:rPr>
              <w:t>71.7%</w:t>
            </w:r>
          </w:p>
        </w:tc>
      </w:tr>
      <w:tr w:rsidR="00C14005" w:rsidRPr="000821CD" w14:paraId="6EEC05C6" w14:textId="77777777" w:rsidTr="00634CD3">
        <w:tc>
          <w:tcPr>
            <w:tcW w:w="1885" w:type="dxa"/>
            <w:gridSpan w:val="2"/>
          </w:tcPr>
          <w:p w14:paraId="496EF332" w14:textId="4F65949E" w:rsidR="00C14005" w:rsidRPr="000821CD" w:rsidRDefault="00C14005" w:rsidP="00C14005">
            <w:pPr>
              <w:rPr>
                <w:rFonts w:asciiTheme="minorHAnsi" w:hAnsiTheme="minorHAnsi" w:cstheme="minorHAnsi"/>
                <w:sz w:val="20"/>
                <w:szCs w:val="20"/>
              </w:rPr>
            </w:pPr>
            <w:r w:rsidRPr="000821CD">
              <w:rPr>
                <w:rFonts w:asciiTheme="minorHAnsi" w:hAnsiTheme="minorHAnsi" w:cstheme="minorHAnsi"/>
                <w:sz w:val="20"/>
                <w:szCs w:val="20"/>
              </w:rPr>
              <w:t>Black</w:t>
            </w:r>
          </w:p>
        </w:tc>
        <w:tc>
          <w:tcPr>
            <w:tcW w:w="1350" w:type="dxa"/>
            <w:gridSpan w:val="2"/>
          </w:tcPr>
          <w:p w14:paraId="40749137" w14:textId="24FEF86C" w:rsidR="00C14005" w:rsidRPr="000821CD" w:rsidRDefault="00634CD3" w:rsidP="00C14005">
            <w:pPr>
              <w:rPr>
                <w:rFonts w:asciiTheme="minorHAnsi" w:hAnsiTheme="minorHAnsi" w:cstheme="minorHAnsi"/>
                <w:sz w:val="20"/>
                <w:szCs w:val="20"/>
              </w:rPr>
            </w:pPr>
            <w:r w:rsidRPr="000821CD">
              <w:rPr>
                <w:rFonts w:asciiTheme="minorHAnsi" w:hAnsiTheme="minorHAnsi" w:cstheme="minorHAnsi"/>
                <w:sz w:val="20"/>
                <w:szCs w:val="20"/>
              </w:rPr>
              <w:t>5.8%</w:t>
            </w:r>
          </w:p>
        </w:tc>
        <w:tc>
          <w:tcPr>
            <w:tcW w:w="1075" w:type="dxa"/>
          </w:tcPr>
          <w:p w14:paraId="52F3D2D5" w14:textId="1034AD45" w:rsidR="00C14005" w:rsidRPr="000821CD" w:rsidRDefault="00634CD3" w:rsidP="00C14005">
            <w:pPr>
              <w:rPr>
                <w:rFonts w:asciiTheme="minorHAnsi" w:hAnsiTheme="minorHAnsi" w:cstheme="minorHAnsi"/>
                <w:sz w:val="20"/>
                <w:szCs w:val="20"/>
              </w:rPr>
            </w:pPr>
            <w:r w:rsidRPr="000821CD">
              <w:rPr>
                <w:rFonts w:asciiTheme="minorHAnsi" w:hAnsiTheme="minorHAnsi" w:cstheme="minorHAnsi"/>
                <w:sz w:val="20"/>
                <w:szCs w:val="20"/>
              </w:rPr>
              <w:t>11.9%</w:t>
            </w:r>
          </w:p>
        </w:tc>
      </w:tr>
      <w:tr w:rsidR="00C14005" w:rsidRPr="000821CD" w14:paraId="290522CC" w14:textId="77777777" w:rsidTr="00634CD3">
        <w:tc>
          <w:tcPr>
            <w:tcW w:w="1885" w:type="dxa"/>
            <w:gridSpan w:val="2"/>
          </w:tcPr>
          <w:p w14:paraId="6FA6794F" w14:textId="282489E6" w:rsidR="00C14005" w:rsidRPr="000821CD" w:rsidRDefault="00C14005" w:rsidP="00C14005">
            <w:pPr>
              <w:rPr>
                <w:rFonts w:asciiTheme="minorHAnsi" w:hAnsiTheme="minorHAnsi" w:cstheme="minorHAnsi"/>
                <w:sz w:val="20"/>
                <w:szCs w:val="20"/>
              </w:rPr>
            </w:pPr>
            <w:r w:rsidRPr="000821CD">
              <w:rPr>
                <w:rFonts w:asciiTheme="minorHAnsi" w:hAnsiTheme="minorHAnsi" w:cstheme="minorHAnsi"/>
                <w:sz w:val="20"/>
                <w:szCs w:val="20"/>
              </w:rPr>
              <w:t>Hispanic</w:t>
            </w:r>
          </w:p>
        </w:tc>
        <w:tc>
          <w:tcPr>
            <w:tcW w:w="1350" w:type="dxa"/>
            <w:gridSpan w:val="2"/>
          </w:tcPr>
          <w:p w14:paraId="6088B99E" w14:textId="39B1B269" w:rsidR="00C14005" w:rsidRPr="000821CD" w:rsidRDefault="00634CD3" w:rsidP="00C14005">
            <w:pPr>
              <w:rPr>
                <w:rFonts w:asciiTheme="minorHAnsi" w:hAnsiTheme="minorHAnsi" w:cstheme="minorHAnsi"/>
                <w:sz w:val="20"/>
                <w:szCs w:val="20"/>
              </w:rPr>
            </w:pPr>
            <w:r w:rsidRPr="000821CD">
              <w:rPr>
                <w:rFonts w:asciiTheme="minorHAnsi" w:hAnsiTheme="minorHAnsi" w:cstheme="minorHAnsi"/>
                <w:sz w:val="20"/>
                <w:szCs w:val="20"/>
              </w:rPr>
              <w:t>6.3%</w:t>
            </w:r>
          </w:p>
        </w:tc>
        <w:tc>
          <w:tcPr>
            <w:tcW w:w="1075" w:type="dxa"/>
          </w:tcPr>
          <w:p w14:paraId="7845CE38" w14:textId="395F4637" w:rsidR="00C14005" w:rsidRPr="000821CD" w:rsidRDefault="00634CD3" w:rsidP="00C14005">
            <w:pPr>
              <w:rPr>
                <w:rFonts w:asciiTheme="minorHAnsi" w:hAnsiTheme="minorHAnsi" w:cstheme="minorHAnsi"/>
                <w:sz w:val="20"/>
                <w:szCs w:val="20"/>
              </w:rPr>
            </w:pPr>
            <w:r w:rsidRPr="000821CD">
              <w:rPr>
                <w:rFonts w:asciiTheme="minorHAnsi" w:hAnsiTheme="minorHAnsi" w:cstheme="minorHAnsi"/>
                <w:sz w:val="20"/>
                <w:szCs w:val="20"/>
              </w:rPr>
              <w:t>15.5%</w:t>
            </w:r>
          </w:p>
        </w:tc>
      </w:tr>
      <w:tr w:rsidR="00C14005" w:rsidRPr="000821CD" w14:paraId="41155F6E" w14:textId="77777777" w:rsidTr="00634CD3">
        <w:tc>
          <w:tcPr>
            <w:tcW w:w="1885" w:type="dxa"/>
            <w:gridSpan w:val="2"/>
          </w:tcPr>
          <w:p w14:paraId="4514A7AD" w14:textId="32445F1C" w:rsidR="00C14005" w:rsidRPr="000821CD" w:rsidRDefault="00C14005" w:rsidP="00C14005">
            <w:pPr>
              <w:rPr>
                <w:rFonts w:asciiTheme="minorHAnsi" w:hAnsiTheme="minorHAnsi" w:cstheme="minorHAnsi"/>
                <w:sz w:val="20"/>
                <w:szCs w:val="20"/>
              </w:rPr>
            </w:pPr>
            <w:r w:rsidRPr="000821CD">
              <w:rPr>
                <w:rFonts w:asciiTheme="minorHAnsi" w:hAnsiTheme="minorHAnsi" w:cstheme="minorHAnsi"/>
                <w:sz w:val="20"/>
                <w:szCs w:val="20"/>
              </w:rPr>
              <w:t>Asian</w:t>
            </w:r>
          </w:p>
        </w:tc>
        <w:tc>
          <w:tcPr>
            <w:tcW w:w="1350" w:type="dxa"/>
            <w:gridSpan w:val="2"/>
          </w:tcPr>
          <w:p w14:paraId="44718132" w14:textId="48627B57" w:rsidR="00C14005" w:rsidRPr="000821CD" w:rsidRDefault="00634CD3" w:rsidP="00C14005">
            <w:pPr>
              <w:rPr>
                <w:rFonts w:asciiTheme="minorHAnsi" w:hAnsiTheme="minorHAnsi" w:cstheme="minorHAnsi"/>
                <w:sz w:val="20"/>
                <w:szCs w:val="20"/>
              </w:rPr>
            </w:pPr>
            <w:r w:rsidRPr="000821CD">
              <w:rPr>
                <w:rFonts w:asciiTheme="minorHAnsi" w:hAnsiTheme="minorHAnsi" w:cstheme="minorHAnsi"/>
                <w:sz w:val="20"/>
                <w:szCs w:val="20"/>
              </w:rPr>
              <w:t>0.6%</w:t>
            </w:r>
          </w:p>
        </w:tc>
        <w:tc>
          <w:tcPr>
            <w:tcW w:w="1075" w:type="dxa"/>
          </w:tcPr>
          <w:p w14:paraId="517643D7" w14:textId="554839E4" w:rsidR="00C14005" w:rsidRPr="000821CD" w:rsidRDefault="00634CD3" w:rsidP="00C14005">
            <w:pPr>
              <w:rPr>
                <w:rFonts w:asciiTheme="minorHAnsi" w:hAnsiTheme="minorHAnsi" w:cstheme="minorHAnsi"/>
                <w:sz w:val="20"/>
                <w:szCs w:val="20"/>
              </w:rPr>
            </w:pPr>
            <w:r w:rsidRPr="000821CD">
              <w:rPr>
                <w:rFonts w:asciiTheme="minorHAnsi" w:hAnsiTheme="minorHAnsi" w:cstheme="minorHAnsi"/>
                <w:sz w:val="20"/>
                <w:szCs w:val="20"/>
              </w:rPr>
              <w:t>0.6%</w:t>
            </w:r>
          </w:p>
        </w:tc>
      </w:tr>
      <w:tr w:rsidR="00C14005" w:rsidRPr="000821CD" w14:paraId="5D834225" w14:textId="77777777" w:rsidTr="00634CD3">
        <w:tc>
          <w:tcPr>
            <w:tcW w:w="1885" w:type="dxa"/>
            <w:gridSpan w:val="2"/>
            <w:tcBorders>
              <w:bottom w:val="single" w:sz="4" w:space="0" w:color="auto"/>
            </w:tcBorders>
          </w:tcPr>
          <w:p w14:paraId="6BFACE02" w14:textId="4BBE2D6A" w:rsidR="00C14005" w:rsidRPr="000821CD" w:rsidRDefault="00C14005" w:rsidP="00C14005">
            <w:pPr>
              <w:rPr>
                <w:rFonts w:asciiTheme="minorHAnsi" w:hAnsiTheme="minorHAnsi" w:cstheme="minorHAnsi"/>
                <w:sz w:val="20"/>
                <w:szCs w:val="20"/>
              </w:rPr>
            </w:pPr>
            <w:r w:rsidRPr="000821CD">
              <w:rPr>
                <w:rFonts w:asciiTheme="minorHAnsi" w:hAnsiTheme="minorHAnsi" w:cstheme="minorHAnsi"/>
                <w:sz w:val="20"/>
                <w:szCs w:val="20"/>
              </w:rPr>
              <w:t>Native American</w:t>
            </w:r>
          </w:p>
        </w:tc>
        <w:tc>
          <w:tcPr>
            <w:tcW w:w="1350" w:type="dxa"/>
            <w:gridSpan w:val="2"/>
            <w:tcBorders>
              <w:bottom w:val="single" w:sz="4" w:space="0" w:color="auto"/>
            </w:tcBorders>
          </w:tcPr>
          <w:p w14:paraId="0FBE14C5" w14:textId="448CC609" w:rsidR="00C14005" w:rsidRPr="000821CD" w:rsidRDefault="00634CD3" w:rsidP="00C14005">
            <w:pPr>
              <w:rPr>
                <w:rFonts w:asciiTheme="minorHAnsi" w:hAnsiTheme="minorHAnsi" w:cstheme="minorHAnsi"/>
                <w:sz w:val="20"/>
                <w:szCs w:val="20"/>
              </w:rPr>
            </w:pPr>
            <w:r w:rsidRPr="000821CD">
              <w:rPr>
                <w:rFonts w:asciiTheme="minorHAnsi" w:hAnsiTheme="minorHAnsi" w:cstheme="minorHAnsi"/>
                <w:sz w:val="20"/>
                <w:szCs w:val="20"/>
              </w:rPr>
              <w:t>0.1%</w:t>
            </w:r>
          </w:p>
        </w:tc>
        <w:tc>
          <w:tcPr>
            <w:tcW w:w="1075" w:type="dxa"/>
            <w:tcBorders>
              <w:bottom w:val="single" w:sz="4" w:space="0" w:color="auto"/>
            </w:tcBorders>
          </w:tcPr>
          <w:p w14:paraId="0A2F8EBB" w14:textId="0BCC4DD9" w:rsidR="00C14005" w:rsidRPr="000821CD" w:rsidRDefault="00634CD3" w:rsidP="00C14005">
            <w:pPr>
              <w:rPr>
                <w:rFonts w:asciiTheme="minorHAnsi" w:hAnsiTheme="minorHAnsi" w:cstheme="minorHAnsi"/>
                <w:sz w:val="20"/>
                <w:szCs w:val="20"/>
              </w:rPr>
            </w:pPr>
            <w:r w:rsidRPr="000821CD">
              <w:rPr>
                <w:rFonts w:asciiTheme="minorHAnsi" w:hAnsiTheme="minorHAnsi" w:cstheme="minorHAnsi"/>
                <w:sz w:val="20"/>
                <w:szCs w:val="20"/>
              </w:rPr>
              <w:t>0.04%</w:t>
            </w:r>
          </w:p>
        </w:tc>
      </w:tr>
    </w:tbl>
    <w:p w14:paraId="44BFD1E5" w14:textId="0DE40FCB" w:rsidR="00DE775C" w:rsidRPr="000821CD" w:rsidRDefault="00DE775C" w:rsidP="00DE775C">
      <w:pPr>
        <w:spacing w:line="240" w:lineRule="auto"/>
        <w:rPr>
          <w:rFonts w:asciiTheme="minorHAnsi" w:hAnsiTheme="minorHAnsi" w:cstheme="minorHAnsi"/>
          <w:sz w:val="20"/>
          <w:szCs w:val="20"/>
        </w:rPr>
      </w:pPr>
    </w:p>
    <w:p w14:paraId="013E8ACF" w14:textId="31037B3C" w:rsidR="00DE775C" w:rsidRPr="000821CD" w:rsidRDefault="00DE775C" w:rsidP="00DE775C">
      <w:pPr>
        <w:spacing w:line="240" w:lineRule="auto"/>
        <w:rPr>
          <w:rFonts w:asciiTheme="minorHAnsi" w:hAnsiTheme="minorHAnsi" w:cstheme="minorHAnsi"/>
          <w:b/>
          <w:bCs/>
          <w:sz w:val="20"/>
          <w:szCs w:val="20"/>
        </w:rPr>
      </w:pPr>
      <w:r w:rsidRPr="000821CD">
        <w:rPr>
          <w:rFonts w:asciiTheme="minorHAnsi" w:hAnsiTheme="minorHAnsi" w:cstheme="minorHAnsi"/>
          <w:b/>
          <w:bCs/>
          <w:sz w:val="20"/>
          <w:szCs w:val="20"/>
        </w:rPr>
        <w:t>Why is diversity in policing important?</w:t>
      </w:r>
    </w:p>
    <w:p w14:paraId="288DDAD5" w14:textId="63A399E8" w:rsidR="00DE775C" w:rsidRPr="000821CD" w:rsidRDefault="00DE775C" w:rsidP="00DE775C">
      <w:pPr>
        <w:spacing w:line="240" w:lineRule="auto"/>
        <w:rPr>
          <w:rFonts w:asciiTheme="minorHAnsi" w:hAnsiTheme="minorHAnsi" w:cstheme="minorHAnsi"/>
          <w:sz w:val="20"/>
          <w:szCs w:val="20"/>
        </w:rPr>
      </w:pPr>
      <w:r w:rsidRPr="000821CD">
        <w:rPr>
          <w:rFonts w:asciiTheme="minorHAnsi" w:hAnsiTheme="minorHAnsi" w:cstheme="minorHAnsi"/>
          <w:sz w:val="20"/>
          <w:szCs w:val="20"/>
        </w:rPr>
        <w:t xml:space="preserve">While it is easy to see through popular media that the public outcry after </w:t>
      </w:r>
      <w:r w:rsidR="00196355" w:rsidRPr="000821CD">
        <w:rPr>
          <w:rFonts w:asciiTheme="minorHAnsi" w:hAnsiTheme="minorHAnsi" w:cstheme="minorHAnsi"/>
          <w:sz w:val="20"/>
          <w:szCs w:val="20"/>
        </w:rPr>
        <w:t>Ferguson</w:t>
      </w:r>
      <w:r w:rsidRPr="000821CD">
        <w:rPr>
          <w:rFonts w:asciiTheme="minorHAnsi" w:hAnsiTheme="minorHAnsi" w:cstheme="minorHAnsi"/>
          <w:sz w:val="20"/>
          <w:szCs w:val="20"/>
        </w:rPr>
        <w:t xml:space="preserve"> and George Floyd includes calls for increased diversity in policing, public sentiment is not the only driving rationale supporting increasing diversity in policing.</w:t>
      </w:r>
    </w:p>
    <w:p w14:paraId="5B31F127" w14:textId="25FD4E4B" w:rsidR="00DE775C" w:rsidRPr="000821CD" w:rsidRDefault="00DE775C" w:rsidP="00DE775C">
      <w:pPr>
        <w:spacing w:line="240" w:lineRule="auto"/>
        <w:rPr>
          <w:rFonts w:asciiTheme="minorHAnsi" w:hAnsiTheme="minorHAnsi" w:cstheme="minorHAnsi"/>
          <w:sz w:val="20"/>
          <w:szCs w:val="20"/>
        </w:rPr>
      </w:pPr>
    </w:p>
    <w:p w14:paraId="01B16705" w14:textId="0E9BE7FB" w:rsidR="00DE775C" w:rsidRPr="000821CD" w:rsidRDefault="00DE775C" w:rsidP="00DE775C">
      <w:pPr>
        <w:spacing w:line="240" w:lineRule="auto"/>
        <w:rPr>
          <w:rFonts w:asciiTheme="minorHAnsi" w:hAnsiTheme="minorHAnsi" w:cstheme="minorHAnsi"/>
          <w:b/>
          <w:bCs/>
          <w:sz w:val="20"/>
          <w:szCs w:val="20"/>
        </w:rPr>
      </w:pPr>
      <w:r w:rsidRPr="000821CD">
        <w:rPr>
          <w:rFonts w:asciiTheme="minorHAnsi" w:hAnsiTheme="minorHAnsi" w:cstheme="minorHAnsi"/>
          <w:b/>
          <w:bCs/>
          <w:sz w:val="20"/>
          <w:szCs w:val="20"/>
        </w:rPr>
        <w:t>What is diversity in policing?</w:t>
      </w:r>
    </w:p>
    <w:p w14:paraId="0E1F4E52" w14:textId="77FD02AB" w:rsidR="00DE775C" w:rsidRPr="000821CD" w:rsidRDefault="00DE775C" w:rsidP="00DE775C">
      <w:pPr>
        <w:spacing w:line="240" w:lineRule="auto"/>
        <w:rPr>
          <w:rFonts w:asciiTheme="minorHAnsi" w:hAnsiTheme="minorHAnsi" w:cstheme="minorHAnsi"/>
          <w:sz w:val="20"/>
          <w:szCs w:val="20"/>
        </w:rPr>
      </w:pPr>
      <w:r w:rsidRPr="000821CD">
        <w:rPr>
          <w:rFonts w:asciiTheme="minorHAnsi" w:hAnsiTheme="minorHAnsi" w:cstheme="minorHAnsi"/>
          <w:sz w:val="20"/>
          <w:szCs w:val="20"/>
        </w:rPr>
        <w:t>Diversity</w:t>
      </w:r>
      <w:r w:rsidR="00C7712D" w:rsidRPr="000821CD">
        <w:rPr>
          <w:rStyle w:val="FootnoteReference"/>
          <w:rFonts w:asciiTheme="minorHAnsi" w:hAnsiTheme="minorHAnsi" w:cstheme="minorHAnsi"/>
          <w:sz w:val="20"/>
          <w:szCs w:val="20"/>
        </w:rPr>
        <w:footnoteReference w:id="4"/>
      </w:r>
      <w:r w:rsidRPr="000821CD">
        <w:rPr>
          <w:rFonts w:asciiTheme="minorHAnsi" w:hAnsiTheme="minorHAnsi" w:cstheme="minorHAnsi"/>
          <w:sz w:val="20"/>
          <w:szCs w:val="20"/>
        </w:rPr>
        <w:t xml:space="preserve"> in policing is generally discussed along two dimensions. The first is racial diversity, and the second is gender diversity. While racial diversity has recently received substantial attention, gender diversity is also an important consideration.</w:t>
      </w:r>
      <w:r w:rsidR="00C7712D" w:rsidRPr="000821CD">
        <w:rPr>
          <w:rFonts w:asciiTheme="minorHAnsi" w:hAnsiTheme="minorHAnsi" w:cstheme="minorHAnsi"/>
          <w:sz w:val="20"/>
          <w:szCs w:val="20"/>
        </w:rPr>
        <w:t xml:space="preserve"> Underlying racial and gender diversity is the idea of ideological diversity.</w:t>
      </w:r>
    </w:p>
    <w:p w14:paraId="79A1BF5A" w14:textId="4D36CF90" w:rsidR="00DE775C" w:rsidRPr="000821CD" w:rsidRDefault="00DE775C" w:rsidP="00DE775C">
      <w:pPr>
        <w:spacing w:line="240" w:lineRule="auto"/>
        <w:rPr>
          <w:rFonts w:asciiTheme="minorHAnsi" w:hAnsiTheme="minorHAnsi" w:cstheme="minorHAnsi"/>
          <w:sz w:val="20"/>
          <w:szCs w:val="20"/>
        </w:rPr>
      </w:pPr>
    </w:p>
    <w:p w14:paraId="4AC5A87F" w14:textId="0C03E40E" w:rsidR="00DE775C" w:rsidRPr="000821CD" w:rsidRDefault="00DE775C" w:rsidP="00DE775C">
      <w:pPr>
        <w:spacing w:line="240" w:lineRule="auto"/>
        <w:rPr>
          <w:rFonts w:asciiTheme="minorHAnsi" w:hAnsiTheme="minorHAnsi" w:cstheme="minorHAnsi"/>
          <w:b/>
          <w:bCs/>
          <w:sz w:val="20"/>
          <w:szCs w:val="20"/>
        </w:rPr>
      </w:pPr>
      <w:r w:rsidRPr="000821CD">
        <w:rPr>
          <w:rFonts w:asciiTheme="minorHAnsi" w:hAnsiTheme="minorHAnsi" w:cstheme="minorHAnsi"/>
          <w:b/>
          <w:bCs/>
          <w:sz w:val="20"/>
          <w:szCs w:val="20"/>
        </w:rPr>
        <w:t>Racial diversification</w:t>
      </w:r>
    </w:p>
    <w:p w14:paraId="0C5095C7" w14:textId="341D6B5E" w:rsidR="00DE775C" w:rsidRPr="000821CD" w:rsidRDefault="00DE775C" w:rsidP="00DE775C">
      <w:pPr>
        <w:spacing w:line="240" w:lineRule="auto"/>
        <w:rPr>
          <w:rFonts w:asciiTheme="minorHAnsi" w:hAnsiTheme="minorHAnsi" w:cstheme="minorHAnsi"/>
          <w:sz w:val="20"/>
          <w:szCs w:val="20"/>
        </w:rPr>
      </w:pPr>
      <w:r w:rsidRPr="000821CD">
        <w:rPr>
          <w:rFonts w:asciiTheme="minorHAnsi" w:hAnsiTheme="minorHAnsi" w:cstheme="minorHAnsi"/>
          <w:sz w:val="20"/>
          <w:szCs w:val="20"/>
        </w:rPr>
        <w:t>Racial diversification in policing carries several substantial benefits. While limited evidence has supported differences in outcomes between White and Black officers, a recent study</w:t>
      </w:r>
      <w:r w:rsidRPr="000821CD">
        <w:rPr>
          <w:rStyle w:val="FootnoteReference"/>
          <w:rFonts w:asciiTheme="minorHAnsi" w:hAnsiTheme="minorHAnsi" w:cstheme="minorHAnsi"/>
          <w:sz w:val="20"/>
          <w:szCs w:val="20"/>
        </w:rPr>
        <w:footnoteReference w:id="5"/>
      </w:r>
      <w:r w:rsidRPr="000821CD">
        <w:rPr>
          <w:rFonts w:asciiTheme="minorHAnsi" w:hAnsiTheme="minorHAnsi" w:cstheme="minorHAnsi"/>
          <w:sz w:val="20"/>
          <w:szCs w:val="20"/>
        </w:rPr>
        <w:t xml:space="preserve"> that now reflects </w:t>
      </w:r>
      <w:r w:rsidRPr="000821CD">
        <w:rPr>
          <w:rFonts w:asciiTheme="minorHAnsi" w:hAnsiTheme="minorHAnsi" w:cstheme="minorHAnsi"/>
          <w:sz w:val="20"/>
          <w:szCs w:val="20"/>
        </w:rPr>
        <w:t>the best available evidence on the subject shows that:</w:t>
      </w:r>
    </w:p>
    <w:p w14:paraId="69D699A6" w14:textId="68D16013" w:rsidR="00DE775C" w:rsidRPr="000821CD" w:rsidRDefault="00DE775C" w:rsidP="00DE775C">
      <w:pPr>
        <w:spacing w:line="240" w:lineRule="auto"/>
        <w:rPr>
          <w:rFonts w:asciiTheme="minorHAnsi" w:hAnsiTheme="minorHAnsi" w:cstheme="minorHAnsi"/>
          <w:sz w:val="20"/>
          <w:szCs w:val="20"/>
        </w:rPr>
      </w:pPr>
    </w:p>
    <w:p w14:paraId="435FB2E3" w14:textId="04803F4C" w:rsidR="00DE775C" w:rsidRPr="000821CD" w:rsidRDefault="00DE775C" w:rsidP="00DE775C">
      <w:pPr>
        <w:pStyle w:val="ListParagraph"/>
        <w:numPr>
          <w:ilvl w:val="0"/>
          <w:numId w:val="11"/>
        </w:numPr>
        <w:spacing w:line="240" w:lineRule="auto"/>
        <w:rPr>
          <w:rFonts w:asciiTheme="minorHAnsi" w:hAnsiTheme="minorHAnsi" w:cstheme="minorHAnsi"/>
          <w:sz w:val="20"/>
          <w:szCs w:val="20"/>
        </w:rPr>
      </w:pPr>
      <w:r w:rsidRPr="000821CD">
        <w:rPr>
          <w:rFonts w:asciiTheme="minorHAnsi" w:hAnsiTheme="minorHAnsi" w:cstheme="minorHAnsi"/>
          <w:sz w:val="20"/>
          <w:szCs w:val="20"/>
        </w:rPr>
        <w:t>Black and Hispanic officers use less force than White officers.</w:t>
      </w:r>
    </w:p>
    <w:p w14:paraId="4708ECE6" w14:textId="4D924C0D" w:rsidR="00DE775C" w:rsidRPr="000821CD" w:rsidRDefault="00DE775C" w:rsidP="00DE775C">
      <w:pPr>
        <w:pStyle w:val="ListParagraph"/>
        <w:numPr>
          <w:ilvl w:val="0"/>
          <w:numId w:val="11"/>
        </w:numPr>
        <w:spacing w:line="240" w:lineRule="auto"/>
        <w:rPr>
          <w:rFonts w:asciiTheme="minorHAnsi" w:hAnsiTheme="minorHAnsi" w:cstheme="minorHAnsi"/>
          <w:sz w:val="20"/>
          <w:szCs w:val="20"/>
        </w:rPr>
      </w:pPr>
      <w:r w:rsidRPr="000821CD">
        <w:rPr>
          <w:rFonts w:asciiTheme="minorHAnsi" w:hAnsiTheme="minorHAnsi" w:cstheme="minorHAnsi"/>
          <w:sz w:val="20"/>
          <w:szCs w:val="20"/>
        </w:rPr>
        <w:t>Black and Hispanic officers make fewer stops and fewer arrests than white officers. This reflects a greater reliance on community interaction and problem solving.</w:t>
      </w:r>
    </w:p>
    <w:p w14:paraId="007C675E" w14:textId="241AC04A" w:rsidR="00DE775C" w:rsidRPr="000821CD" w:rsidRDefault="00DE775C" w:rsidP="00DE775C">
      <w:pPr>
        <w:spacing w:line="240" w:lineRule="auto"/>
        <w:rPr>
          <w:rFonts w:asciiTheme="minorHAnsi" w:hAnsiTheme="minorHAnsi" w:cstheme="minorHAnsi"/>
          <w:sz w:val="20"/>
          <w:szCs w:val="20"/>
        </w:rPr>
      </w:pPr>
    </w:p>
    <w:p w14:paraId="4BB0D198" w14:textId="77777777" w:rsidR="00D56751" w:rsidRPr="000821CD" w:rsidRDefault="00D56751" w:rsidP="00DE775C">
      <w:pPr>
        <w:spacing w:line="240" w:lineRule="auto"/>
        <w:rPr>
          <w:rFonts w:asciiTheme="minorHAnsi" w:hAnsiTheme="minorHAnsi" w:cstheme="minorHAnsi"/>
          <w:sz w:val="20"/>
          <w:szCs w:val="20"/>
        </w:rPr>
      </w:pPr>
      <w:r w:rsidRPr="000821CD">
        <w:rPr>
          <w:rFonts w:asciiTheme="minorHAnsi" w:hAnsiTheme="minorHAnsi" w:cstheme="minorHAnsi"/>
          <w:sz w:val="20"/>
          <w:szCs w:val="20"/>
        </w:rPr>
        <w:t>In addition to these advantages, racial diversity also relates to representative bureaucracy, the idea that government should reflect the characteristics of the governed.</w:t>
      </w:r>
    </w:p>
    <w:p w14:paraId="29BF7356" w14:textId="77777777" w:rsidR="00D56751" w:rsidRPr="000821CD" w:rsidRDefault="00D56751" w:rsidP="00DE775C">
      <w:pPr>
        <w:spacing w:line="240" w:lineRule="auto"/>
        <w:rPr>
          <w:rFonts w:asciiTheme="minorHAnsi" w:hAnsiTheme="minorHAnsi" w:cstheme="minorHAnsi"/>
          <w:sz w:val="20"/>
          <w:szCs w:val="20"/>
        </w:rPr>
      </w:pPr>
    </w:p>
    <w:p w14:paraId="332B6F54" w14:textId="77777777" w:rsidR="00D56751" w:rsidRPr="000821CD" w:rsidRDefault="00D56751" w:rsidP="00DE775C">
      <w:pPr>
        <w:spacing w:line="240" w:lineRule="auto"/>
        <w:rPr>
          <w:rFonts w:asciiTheme="minorHAnsi" w:hAnsiTheme="minorHAnsi" w:cstheme="minorHAnsi"/>
          <w:b/>
          <w:bCs/>
          <w:sz w:val="20"/>
          <w:szCs w:val="20"/>
        </w:rPr>
      </w:pPr>
      <w:r w:rsidRPr="000821CD">
        <w:rPr>
          <w:rFonts w:asciiTheme="minorHAnsi" w:hAnsiTheme="minorHAnsi" w:cstheme="minorHAnsi"/>
          <w:b/>
          <w:bCs/>
          <w:sz w:val="20"/>
          <w:szCs w:val="20"/>
        </w:rPr>
        <w:t>Gender diversification</w:t>
      </w:r>
    </w:p>
    <w:p w14:paraId="3724A79B" w14:textId="77777777" w:rsidR="00D56751" w:rsidRPr="000821CD" w:rsidRDefault="00D56751" w:rsidP="00DE775C">
      <w:pPr>
        <w:spacing w:line="240" w:lineRule="auto"/>
        <w:rPr>
          <w:rFonts w:asciiTheme="minorHAnsi" w:hAnsiTheme="minorHAnsi" w:cstheme="minorHAnsi"/>
          <w:sz w:val="20"/>
          <w:szCs w:val="20"/>
        </w:rPr>
      </w:pPr>
      <w:r w:rsidRPr="000821CD">
        <w:rPr>
          <w:rFonts w:asciiTheme="minorHAnsi" w:hAnsiTheme="minorHAnsi" w:cstheme="minorHAnsi"/>
          <w:sz w:val="20"/>
          <w:szCs w:val="20"/>
        </w:rPr>
        <w:t>Gender diversification in policing carries similar benefits. Studies have shown that female officers:</w:t>
      </w:r>
    </w:p>
    <w:p w14:paraId="473A9AD6" w14:textId="77777777" w:rsidR="00D56751" w:rsidRPr="000821CD" w:rsidRDefault="00D56751" w:rsidP="00DE775C">
      <w:pPr>
        <w:spacing w:line="240" w:lineRule="auto"/>
        <w:rPr>
          <w:rFonts w:asciiTheme="minorHAnsi" w:hAnsiTheme="minorHAnsi" w:cstheme="minorHAnsi"/>
          <w:sz w:val="20"/>
          <w:szCs w:val="20"/>
        </w:rPr>
      </w:pPr>
    </w:p>
    <w:p w14:paraId="314FA110" w14:textId="7769844A" w:rsidR="00DE775C" w:rsidRPr="000821CD" w:rsidRDefault="00D56751" w:rsidP="00D56751">
      <w:pPr>
        <w:pStyle w:val="ListParagraph"/>
        <w:numPr>
          <w:ilvl w:val="0"/>
          <w:numId w:val="12"/>
        </w:numPr>
        <w:spacing w:line="240" w:lineRule="auto"/>
        <w:rPr>
          <w:rFonts w:asciiTheme="minorHAnsi" w:hAnsiTheme="minorHAnsi" w:cstheme="minorHAnsi"/>
          <w:sz w:val="20"/>
          <w:szCs w:val="20"/>
        </w:rPr>
      </w:pPr>
      <w:r w:rsidRPr="000821CD">
        <w:rPr>
          <w:rFonts w:asciiTheme="minorHAnsi" w:hAnsiTheme="minorHAnsi" w:cstheme="minorHAnsi"/>
          <w:sz w:val="20"/>
          <w:szCs w:val="20"/>
        </w:rPr>
        <w:t xml:space="preserve">Use </w:t>
      </w:r>
      <w:r w:rsidR="0062165E" w:rsidRPr="000821CD">
        <w:rPr>
          <w:rFonts w:asciiTheme="minorHAnsi" w:hAnsiTheme="minorHAnsi" w:cstheme="minorHAnsi"/>
          <w:sz w:val="20"/>
          <w:szCs w:val="20"/>
        </w:rPr>
        <w:t xml:space="preserve">comparably </w:t>
      </w:r>
      <w:r w:rsidRPr="000821CD">
        <w:rPr>
          <w:rFonts w:asciiTheme="minorHAnsi" w:hAnsiTheme="minorHAnsi" w:cstheme="minorHAnsi"/>
          <w:sz w:val="20"/>
          <w:szCs w:val="20"/>
        </w:rPr>
        <w:t>less force than male officers</w:t>
      </w:r>
      <w:r w:rsidRPr="000821CD">
        <w:rPr>
          <w:rStyle w:val="FootnoteReference"/>
          <w:rFonts w:asciiTheme="minorHAnsi" w:hAnsiTheme="minorHAnsi" w:cstheme="minorHAnsi"/>
          <w:sz w:val="20"/>
          <w:szCs w:val="20"/>
        </w:rPr>
        <w:footnoteReference w:id="6"/>
      </w:r>
    </w:p>
    <w:p w14:paraId="384D2DC6" w14:textId="20613353" w:rsidR="00D56751" w:rsidRPr="000821CD" w:rsidRDefault="00D56751" w:rsidP="00D56751">
      <w:pPr>
        <w:pStyle w:val="ListParagraph"/>
        <w:numPr>
          <w:ilvl w:val="0"/>
          <w:numId w:val="12"/>
        </w:numPr>
        <w:spacing w:line="240" w:lineRule="auto"/>
        <w:rPr>
          <w:rFonts w:asciiTheme="minorHAnsi" w:hAnsiTheme="minorHAnsi" w:cstheme="minorHAnsi"/>
          <w:sz w:val="20"/>
          <w:szCs w:val="20"/>
        </w:rPr>
      </w:pPr>
      <w:r w:rsidRPr="000821CD">
        <w:rPr>
          <w:rFonts w:asciiTheme="minorHAnsi" w:hAnsiTheme="minorHAnsi" w:cstheme="minorHAnsi"/>
          <w:sz w:val="20"/>
          <w:szCs w:val="20"/>
        </w:rPr>
        <w:t>Use less coercion</w:t>
      </w:r>
      <w:r w:rsidRPr="000821CD">
        <w:rPr>
          <w:rStyle w:val="FootnoteReference"/>
          <w:rFonts w:asciiTheme="minorHAnsi" w:hAnsiTheme="minorHAnsi" w:cstheme="minorHAnsi"/>
          <w:sz w:val="20"/>
          <w:szCs w:val="20"/>
        </w:rPr>
        <w:footnoteReference w:id="7"/>
      </w:r>
    </w:p>
    <w:p w14:paraId="4BFAB7F7" w14:textId="08ADD9EE" w:rsidR="00D56751" w:rsidRPr="000821CD" w:rsidRDefault="00D56751" w:rsidP="00D56751">
      <w:pPr>
        <w:pStyle w:val="ListParagraph"/>
        <w:numPr>
          <w:ilvl w:val="0"/>
          <w:numId w:val="12"/>
        </w:numPr>
        <w:spacing w:line="240" w:lineRule="auto"/>
        <w:rPr>
          <w:rFonts w:asciiTheme="minorHAnsi" w:hAnsiTheme="minorHAnsi" w:cstheme="minorHAnsi"/>
          <w:sz w:val="20"/>
          <w:szCs w:val="20"/>
        </w:rPr>
      </w:pPr>
      <w:r w:rsidRPr="000821CD">
        <w:rPr>
          <w:rFonts w:asciiTheme="minorHAnsi" w:hAnsiTheme="minorHAnsi" w:cstheme="minorHAnsi"/>
          <w:sz w:val="20"/>
          <w:szCs w:val="20"/>
        </w:rPr>
        <w:t>Receive fewer complaints and engage in less misconduct</w:t>
      </w:r>
      <w:r w:rsidRPr="000821CD">
        <w:rPr>
          <w:rStyle w:val="FootnoteReference"/>
          <w:rFonts w:asciiTheme="minorHAnsi" w:hAnsiTheme="minorHAnsi" w:cstheme="minorHAnsi"/>
          <w:sz w:val="20"/>
          <w:szCs w:val="20"/>
        </w:rPr>
        <w:footnoteReference w:id="8"/>
      </w:r>
    </w:p>
    <w:p w14:paraId="108E26CD" w14:textId="55F19BF5" w:rsidR="00D56751" w:rsidRPr="000821CD" w:rsidRDefault="00D56751" w:rsidP="00D56751">
      <w:pPr>
        <w:spacing w:line="240" w:lineRule="auto"/>
        <w:rPr>
          <w:rFonts w:asciiTheme="minorHAnsi" w:hAnsiTheme="minorHAnsi" w:cstheme="minorHAnsi"/>
          <w:sz w:val="20"/>
          <w:szCs w:val="20"/>
        </w:rPr>
      </w:pPr>
    </w:p>
    <w:p w14:paraId="30F8EFE1" w14:textId="20772952" w:rsidR="00D56751" w:rsidRPr="000821CD" w:rsidRDefault="00D56751" w:rsidP="00D56751">
      <w:pPr>
        <w:spacing w:line="240" w:lineRule="auto"/>
        <w:rPr>
          <w:rFonts w:asciiTheme="minorHAnsi" w:hAnsiTheme="minorHAnsi" w:cstheme="minorHAnsi"/>
          <w:sz w:val="20"/>
          <w:szCs w:val="20"/>
        </w:rPr>
      </w:pPr>
      <w:r w:rsidRPr="000821CD">
        <w:rPr>
          <w:rFonts w:asciiTheme="minorHAnsi" w:hAnsiTheme="minorHAnsi" w:cstheme="minorHAnsi"/>
          <w:sz w:val="20"/>
          <w:szCs w:val="20"/>
        </w:rPr>
        <w:t>In addition to these benefits, female officers are better at communication and de-escalation and enhance perceptions of procedural justice</w:t>
      </w:r>
      <w:r w:rsidRPr="000821CD">
        <w:rPr>
          <w:rStyle w:val="FootnoteReference"/>
          <w:rFonts w:asciiTheme="minorHAnsi" w:hAnsiTheme="minorHAnsi" w:cstheme="minorHAnsi"/>
          <w:sz w:val="20"/>
          <w:szCs w:val="20"/>
        </w:rPr>
        <w:footnoteReference w:id="9"/>
      </w:r>
      <w:r w:rsidRPr="000821CD">
        <w:rPr>
          <w:rFonts w:asciiTheme="minorHAnsi" w:hAnsiTheme="minorHAnsi" w:cstheme="minorHAnsi"/>
          <w:sz w:val="20"/>
          <w:szCs w:val="20"/>
        </w:rPr>
        <w:t>.</w:t>
      </w:r>
    </w:p>
    <w:p w14:paraId="1678EB09" w14:textId="37DD6D3F" w:rsidR="00D56751" w:rsidRPr="000821CD" w:rsidRDefault="00D56751" w:rsidP="00D56751">
      <w:pPr>
        <w:spacing w:line="240" w:lineRule="auto"/>
        <w:rPr>
          <w:rFonts w:asciiTheme="minorHAnsi" w:hAnsiTheme="minorHAnsi" w:cstheme="minorHAnsi"/>
          <w:sz w:val="20"/>
          <w:szCs w:val="20"/>
        </w:rPr>
      </w:pPr>
    </w:p>
    <w:p w14:paraId="44B4CD79" w14:textId="127F6391" w:rsidR="00D56751" w:rsidRPr="000821CD" w:rsidRDefault="00D56751" w:rsidP="00D56751">
      <w:pPr>
        <w:spacing w:line="240" w:lineRule="auto"/>
        <w:rPr>
          <w:rFonts w:asciiTheme="minorHAnsi" w:hAnsiTheme="minorHAnsi" w:cstheme="minorHAnsi"/>
          <w:b/>
          <w:bCs/>
          <w:sz w:val="20"/>
          <w:szCs w:val="20"/>
        </w:rPr>
      </w:pPr>
      <w:r w:rsidRPr="000821CD">
        <w:rPr>
          <w:rFonts w:asciiTheme="minorHAnsi" w:hAnsiTheme="minorHAnsi" w:cstheme="minorHAnsi"/>
          <w:b/>
          <w:bCs/>
          <w:sz w:val="20"/>
          <w:szCs w:val="20"/>
        </w:rPr>
        <w:t>Ideological diversity</w:t>
      </w:r>
    </w:p>
    <w:p w14:paraId="3C1B7B8E" w14:textId="0588253E" w:rsidR="002B62A9" w:rsidRPr="000821CD" w:rsidRDefault="00D56751" w:rsidP="00D56751">
      <w:pPr>
        <w:spacing w:line="240" w:lineRule="auto"/>
        <w:rPr>
          <w:rFonts w:asciiTheme="minorHAnsi" w:hAnsiTheme="minorHAnsi" w:cstheme="minorHAnsi"/>
          <w:sz w:val="20"/>
          <w:szCs w:val="20"/>
        </w:rPr>
      </w:pPr>
      <w:r w:rsidRPr="000821CD">
        <w:rPr>
          <w:rFonts w:asciiTheme="minorHAnsi" w:hAnsiTheme="minorHAnsi" w:cstheme="minorHAnsi"/>
          <w:sz w:val="20"/>
          <w:szCs w:val="20"/>
        </w:rPr>
        <w:t>Together the benefits of racial and gender diversification support improved police/community relationships and police legitimacy. As well, a diversification supports ideological diversity or the inclusion of many points of view. Police agencies generally do not foster diversity in thinking due to strict command structure, adherence to authority, an institutional culture. Diversity supports different perspectives when framing problems and proposing solutions, two benefits that might help police agencies transform.</w:t>
      </w:r>
    </w:p>
    <w:p w14:paraId="3C1A9286" w14:textId="77777777" w:rsidR="002A12F7" w:rsidRPr="000821CD" w:rsidRDefault="002A12F7" w:rsidP="0062165E">
      <w:pPr>
        <w:spacing w:line="240" w:lineRule="auto"/>
        <w:jc w:val="center"/>
        <w:rPr>
          <w:rFonts w:asciiTheme="minorHAnsi" w:hAnsiTheme="minorHAnsi" w:cstheme="minorHAnsi"/>
          <w:b/>
          <w:bCs/>
          <w:sz w:val="20"/>
          <w:szCs w:val="20"/>
        </w:rPr>
      </w:pPr>
    </w:p>
    <w:p w14:paraId="12A7160B" w14:textId="77777777" w:rsidR="000821CD" w:rsidRPr="000821CD" w:rsidRDefault="000821CD" w:rsidP="000821CD">
      <w:pPr>
        <w:spacing w:line="240" w:lineRule="auto"/>
        <w:rPr>
          <w:rFonts w:asciiTheme="minorHAnsi" w:eastAsia="MS Mincho" w:hAnsiTheme="minorHAnsi" w:cstheme="minorHAnsi"/>
          <w:sz w:val="20"/>
          <w:szCs w:val="20"/>
        </w:rPr>
      </w:pPr>
      <w:r w:rsidRPr="000821CD">
        <w:rPr>
          <w:rFonts w:asciiTheme="minorHAnsi" w:eastAsia="MS Mincho" w:hAnsiTheme="minorHAnsi" w:cstheme="minorHAnsi"/>
          <w:b/>
          <w:bCs/>
          <w:sz w:val="20"/>
          <w:szCs w:val="20"/>
        </w:rPr>
        <w:lastRenderedPageBreak/>
        <w:t>Recommendations in response to CT Gen Stat Sec 7-291b (2015): “</w:t>
      </w:r>
      <w:r w:rsidRPr="000821CD">
        <w:rPr>
          <w:rFonts w:asciiTheme="minorHAnsi" w:eastAsia="MS Mincho" w:hAnsiTheme="minorHAnsi" w:cstheme="minorHAnsi"/>
          <w:sz w:val="20"/>
          <w:szCs w:val="20"/>
        </w:rPr>
        <w:t>Not later than January 1, 2016, each law enforcement unit, as defined in section 7-294a, shall develop and implement guidelines for the recruitment, retention and promotion of minority police officers, as defined in section 7-294a. Such guidelines shall promote achieving the goal of racial, gender and ethnic diversity within the law enforcement unit.”</w:t>
      </w:r>
    </w:p>
    <w:p w14:paraId="2F0561E3" w14:textId="77777777" w:rsidR="000821CD" w:rsidRPr="00C457E9" w:rsidRDefault="000821CD" w:rsidP="000821CD">
      <w:pPr>
        <w:spacing w:line="240" w:lineRule="auto"/>
        <w:rPr>
          <w:rFonts w:asciiTheme="minorHAnsi" w:eastAsia="MS Mincho" w:hAnsiTheme="minorHAnsi" w:cstheme="minorHAnsi"/>
          <w:sz w:val="10"/>
          <w:szCs w:val="10"/>
        </w:rPr>
      </w:pPr>
    </w:p>
    <w:p w14:paraId="23369794" w14:textId="4E31CD50" w:rsidR="000821CD" w:rsidRDefault="000821CD" w:rsidP="00230544">
      <w:pPr>
        <w:spacing w:line="240" w:lineRule="auto"/>
        <w:rPr>
          <w:rFonts w:asciiTheme="minorHAnsi" w:eastAsia="MS Mincho" w:hAnsiTheme="minorHAnsi" w:cstheme="minorHAnsi"/>
          <w:b/>
          <w:bCs/>
          <w:sz w:val="20"/>
          <w:szCs w:val="20"/>
        </w:rPr>
      </w:pPr>
      <w:r w:rsidRPr="000821CD">
        <w:rPr>
          <w:rFonts w:asciiTheme="minorHAnsi" w:eastAsia="MS Mincho" w:hAnsiTheme="minorHAnsi" w:cstheme="minorHAnsi"/>
          <w:b/>
          <w:bCs/>
          <w:sz w:val="20"/>
          <w:szCs w:val="20"/>
        </w:rPr>
        <w:t>Recommendation 1</w:t>
      </w:r>
      <w:r w:rsidR="00230544">
        <w:rPr>
          <w:rFonts w:asciiTheme="minorHAnsi" w:eastAsia="MS Mincho" w:hAnsiTheme="minorHAnsi" w:cstheme="minorHAnsi"/>
          <w:b/>
          <w:bCs/>
          <w:sz w:val="20"/>
          <w:szCs w:val="20"/>
        </w:rPr>
        <w:t xml:space="preserve">: </w:t>
      </w:r>
      <w:r w:rsidR="004A41CD">
        <w:rPr>
          <w:rFonts w:asciiTheme="minorHAnsi" w:eastAsia="MS Mincho" w:hAnsiTheme="minorHAnsi" w:cstheme="minorHAnsi"/>
          <w:b/>
          <w:bCs/>
          <w:sz w:val="20"/>
          <w:szCs w:val="20"/>
        </w:rPr>
        <w:t xml:space="preserve">Stipulate diversification </w:t>
      </w:r>
      <w:r w:rsidR="005044CE" w:rsidRPr="005044CE">
        <w:rPr>
          <w:rFonts w:asciiTheme="minorHAnsi" w:eastAsia="MS Mincho" w:hAnsiTheme="minorHAnsi" w:cstheme="minorHAnsi"/>
          <w:b/>
          <w:bCs/>
          <w:color w:val="FF0000"/>
          <w:sz w:val="20"/>
          <w:szCs w:val="20"/>
        </w:rPr>
        <w:t>and community involvement</w:t>
      </w:r>
      <w:r w:rsidR="005044CE">
        <w:rPr>
          <w:rFonts w:asciiTheme="minorHAnsi" w:eastAsia="MS Mincho" w:hAnsiTheme="minorHAnsi" w:cstheme="minorHAnsi"/>
          <w:b/>
          <w:bCs/>
          <w:sz w:val="20"/>
          <w:szCs w:val="20"/>
        </w:rPr>
        <w:t xml:space="preserve"> </w:t>
      </w:r>
      <w:r w:rsidR="004A41CD">
        <w:rPr>
          <w:rFonts w:asciiTheme="minorHAnsi" w:eastAsia="MS Mincho" w:hAnsiTheme="minorHAnsi" w:cstheme="minorHAnsi"/>
          <w:b/>
          <w:bCs/>
          <w:sz w:val="20"/>
          <w:szCs w:val="20"/>
        </w:rPr>
        <w:t xml:space="preserve">goals within </w:t>
      </w:r>
      <w:r w:rsidR="00340E6E">
        <w:rPr>
          <w:rFonts w:asciiTheme="minorHAnsi" w:eastAsia="MS Mincho" w:hAnsiTheme="minorHAnsi" w:cstheme="minorHAnsi"/>
          <w:b/>
          <w:bCs/>
          <w:color w:val="7030A0"/>
          <w:sz w:val="20"/>
          <w:szCs w:val="20"/>
        </w:rPr>
        <w:t xml:space="preserve">each agency </w:t>
      </w:r>
      <w:r w:rsidR="00340E6E" w:rsidRPr="00340E6E">
        <w:rPr>
          <w:rFonts w:asciiTheme="minorHAnsi" w:eastAsia="MS Mincho" w:hAnsiTheme="minorHAnsi" w:cstheme="minorHAnsi"/>
          <w:b/>
          <w:bCs/>
          <w:color w:val="7030A0"/>
          <w:sz w:val="20"/>
          <w:szCs w:val="20"/>
        </w:rPr>
        <w:t>in Connecticut</w:t>
      </w:r>
      <w:r w:rsidR="00340E6E">
        <w:rPr>
          <w:rFonts w:asciiTheme="minorHAnsi" w:eastAsia="MS Mincho" w:hAnsiTheme="minorHAnsi" w:cstheme="minorHAnsi"/>
          <w:b/>
          <w:bCs/>
          <w:color w:val="7030A0"/>
          <w:sz w:val="20"/>
          <w:szCs w:val="20"/>
        </w:rPr>
        <w:t>’s</w:t>
      </w:r>
      <w:r w:rsidR="004A41CD" w:rsidRPr="00340E6E">
        <w:rPr>
          <w:rFonts w:asciiTheme="minorHAnsi" w:eastAsia="MS Mincho" w:hAnsiTheme="minorHAnsi" w:cstheme="minorHAnsi"/>
          <w:b/>
          <w:bCs/>
          <w:color w:val="7030A0"/>
          <w:sz w:val="20"/>
          <w:szCs w:val="20"/>
        </w:rPr>
        <w:t xml:space="preserve"> written directives </w:t>
      </w:r>
      <w:r w:rsidR="00340E6E" w:rsidRPr="00340E6E">
        <w:rPr>
          <w:rFonts w:asciiTheme="minorHAnsi" w:eastAsia="MS Mincho" w:hAnsiTheme="minorHAnsi" w:cstheme="minorHAnsi"/>
          <w:b/>
          <w:bCs/>
          <w:color w:val="7030A0"/>
          <w:sz w:val="20"/>
          <w:szCs w:val="20"/>
        </w:rPr>
        <w:t>which are reviewed for accreditation</w:t>
      </w:r>
      <w:r w:rsidR="00340E6E">
        <w:rPr>
          <w:rFonts w:asciiTheme="minorHAnsi" w:eastAsia="MS Mincho" w:hAnsiTheme="minorHAnsi" w:cstheme="minorHAnsi"/>
          <w:b/>
          <w:bCs/>
          <w:color w:val="7030A0"/>
          <w:sz w:val="20"/>
          <w:szCs w:val="20"/>
        </w:rPr>
        <w:t xml:space="preserve"> </w:t>
      </w:r>
      <w:r w:rsidR="00340E6E">
        <w:rPr>
          <w:rFonts w:asciiTheme="minorHAnsi" w:eastAsia="MS Mincho" w:hAnsiTheme="minorHAnsi" w:cstheme="minorHAnsi"/>
          <w:b/>
          <w:bCs/>
          <w:sz w:val="20"/>
          <w:szCs w:val="20"/>
        </w:rPr>
        <w:t xml:space="preserve">by </w:t>
      </w:r>
      <w:r w:rsidR="001D44B1">
        <w:rPr>
          <w:rFonts w:asciiTheme="minorHAnsi" w:eastAsia="MS Mincho" w:hAnsiTheme="minorHAnsi" w:cstheme="minorHAnsi"/>
          <w:b/>
          <w:bCs/>
          <w:sz w:val="20"/>
          <w:szCs w:val="20"/>
        </w:rPr>
        <w:t>Commission on Accreditation for Law Enforcement Agencies (CALEA)</w:t>
      </w:r>
      <w:r w:rsidR="004A41CD">
        <w:rPr>
          <w:rFonts w:asciiTheme="minorHAnsi" w:eastAsia="MS Mincho" w:hAnsiTheme="minorHAnsi" w:cstheme="minorHAnsi"/>
          <w:b/>
          <w:bCs/>
          <w:sz w:val="20"/>
          <w:szCs w:val="20"/>
        </w:rPr>
        <w:t xml:space="preserve"> for agencies </w:t>
      </w:r>
      <w:r w:rsidR="00340E6E" w:rsidRPr="00340E6E">
        <w:rPr>
          <w:rFonts w:asciiTheme="minorHAnsi" w:eastAsia="MS Mincho" w:hAnsiTheme="minorHAnsi" w:cstheme="minorHAnsi"/>
          <w:b/>
          <w:bCs/>
          <w:color w:val="7030A0"/>
          <w:sz w:val="20"/>
          <w:szCs w:val="20"/>
        </w:rPr>
        <w:t>or another accrediting body</w:t>
      </w:r>
    </w:p>
    <w:p w14:paraId="7CF33F5A" w14:textId="5EDBD6E0" w:rsidR="001D44B1" w:rsidRPr="00340E6E" w:rsidRDefault="001D44B1" w:rsidP="00230544">
      <w:pPr>
        <w:spacing w:line="240" w:lineRule="auto"/>
        <w:rPr>
          <w:rFonts w:asciiTheme="minorHAnsi" w:eastAsia="MS Mincho" w:hAnsiTheme="minorHAnsi" w:cstheme="minorHAnsi"/>
          <w:color w:val="7030A0"/>
          <w:sz w:val="20"/>
          <w:szCs w:val="20"/>
        </w:rPr>
      </w:pPr>
      <w:r>
        <w:rPr>
          <w:rFonts w:asciiTheme="minorHAnsi" w:eastAsia="MS Mincho" w:hAnsiTheme="minorHAnsi" w:cstheme="minorHAnsi"/>
          <w:sz w:val="20"/>
          <w:szCs w:val="20"/>
        </w:rPr>
        <w:t>CALEA accreditation is a voluntary opportunity for law enforcement agencies to demonstrate compliance with an established set of professional standards</w:t>
      </w:r>
      <w:r w:rsidR="00340E6E">
        <w:rPr>
          <w:rFonts w:asciiTheme="minorHAnsi" w:eastAsia="MS Mincho" w:hAnsiTheme="minorHAnsi" w:cstheme="minorHAnsi"/>
          <w:sz w:val="20"/>
          <w:szCs w:val="20"/>
        </w:rPr>
        <w:t xml:space="preserve"> including </w:t>
      </w:r>
      <w:r>
        <w:rPr>
          <w:rFonts w:asciiTheme="minorHAnsi" w:eastAsia="MS Mincho" w:hAnsiTheme="minorHAnsi" w:cstheme="minorHAnsi"/>
          <w:sz w:val="20"/>
          <w:szCs w:val="20"/>
        </w:rPr>
        <w:t>the use of written directives that define authority, performance, and responsibility alongside the use of analysis and reporting to inform management decisions. The program emphasizes annual reviews and assessments conducted by subject matter experts.</w:t>
      </w:r>
      <w:r w:rsidR="00340E6E">
        <w:rPr>
          <w:rFonts w:asciiTheme="minorHAnsi" w:eastAsia="MS Mincho" w:hAnsiTheme="minorHAnsi" w:cstheme="minorHAnsi"/>
          <w:sz w:val="20"/>
          <w:szCs w:val="20"/>
        </w:rPr>
        <w:t xml:space="preserve"> </w:t>
      </w:r>
      <w:r w:rsidR="00340E6E">
        <w:rPr>
          <w:rFonts w:asciiTheme="minorHAnsi" w:eastAsia="MS Mincho" w:hAnsiTheme="minorHAnsi" w:cstheme="minorHAnsi"/>
          <w:color w:val="7030A0"/>
          <w:sz w:val="20"/>
          <w:szCs w:val="20"/>
        </w:rPr>
        <w:t>While CALEA does not include diversification as a standard, accrediting bodies’ review of organizations’ directives provides a way to link diversification and community engagement to the accreditation process.</w:t>
      </w:r>
    </w:p>
    <w:p w14:paraId="4E3D501D" w14:textId="21374047" w:rsidR="001D44B1" w:rsidRPr="00C457E9" w:rsidRDefault="001D44B1" w:rsidP="00230544">
      <w:pPr>
        <w:spacing w:line="240" w:lineRule="auto"/>
        <w:rPr>
          <w:rFonts w:asciiTheme="minorHAnsi" w:eastAsia="MS Mincho" w:hAnsiTheme="minorHAnsi" w:cstheme="minorHAnsi"/>
          <w:sz w:val="10"/>
          <w:szCs w:val="10"/>
        </w:rPr>
      </w:pPr>
    </w:p>
    <w:p w14:paraId="5FA9B22B" w14:textId="00C19F37" w:rsidR="001D44B1" w:rsidRDefault="001D44B1" w:rsidP="00230544">
      <w:pPr>
        <w:spacing w:line="240" w:lineRule="auto"/>
        <w:rPr>
          <w:rFonts w:asciiTheme="minorHAnsi" w:eastAsia="MS Mincho" w:hAnsiTheme="minorHAnsi" w:cstheme="minorHAnsi"/>
          <w:b/>
          <w:bCs/>
          <w:sz w:val="20"/>
          <w:szCs w:val="20"/>
        </w:rPr>
      </w:pPr>
      <w:r>
        <w:rPr>
          <w:rFonts w:asciiTheme="minorHAnsi" w:eastAsia="MS Mincho" w:hAnsiTheme="minorHAnsi" w:cstheme="minorHAnsi"/>
          <w:b/>
          <w:bCs/>
          <w:sz w:val="20"/>
          <w:szCs w:val="20"/>
        </w:rPr>
        <w:t>Rationale</w:t>
      </w:r>
    </w:p>
    <w:p w14:paraId="0261E602" w14:textId="5C6FC5AA" w:rsidR="001D44B1" w:rsidRDefault="001D44B1" w:rsidP="00230544">
      <w:pPr>
        <w:spacing w:line="240" w:lineRule="auto"/>
        <w:rPr>
          <w:rFonts w:asciiTheme="minorHAnsi" w:eastAsia="MS Mincho" w:hAnsiTheme="minorHAnsi" w:cstheme="minorHAnsi"/>
          <w:sz w:val="20"/>
          <w:szCs w:val="20"/>
        </w:rPr>
      </w:pPr>
      <w:r>
        <w:rPr>
          <w:rFonts w:asciiTheme="minorHAnsi" w:eastAsia="MS Mincho" w:hAnsiTheme="minorHAnsi" w:cstheme="minorHAnsi"/>
          <w:sz w:val="20"/>
          <w:szCs w:val="20"/>
        </w:rPr>
        <w:t xml:space="preserve">The professional standards reflected through CALEA accreditation are particularly well-aligned to the goal of diversifying agencies. Written directives that assign responsibility and define performance targets related to </w:t>
      </w:r>
      <w:r w:rsidR="005044CE" w:rsidRPr="005044CE">
        <w:rPr>
          <w:rFonts w:asciiTheme="minorHAnsi" w:eastAsia="MS Mincho" w:hAnsiTheme="minorHAnsi" w:cstheme="minorHAnsi"/>
          <w:color w:val="FF0000"/>
          <w:sz w:val="20"/>
          <w:szCs w:val="20"/>
        </w:rPr>
        <w:t xml:space="preserve">specific </w:t>
      </w:r>
      <w:r>
        <w:rPr>
          <w:rFonts w:asciiTheme="minorHAnsi" w:eastAsia="MS Mincho" w:hAnsiTheme="minorHAnsi" w:cstheme="minorHAnsi"/>
          <w:sz w:val="20"/>
          <w:szCs w:val="20"/>
        </w:rPr>
        <w:t xml:space="preserve">diversification efforts are consistent with </w:t>
      </w:r>
      <w:r w:rsidRPr="001D44B1">
        <w:rPr>
          <w:rFonts w:asciiTheme="minorHAnsi" w:eastAsia="MS Mincho" w:hAnsiTheme="minorHAnsi" w:cstheme="minorHAnsi"/>
          <w:sz w:val="20"/>
          <w:szCs w:val="20"/>
        </w:rPr>
        <w:t>CT Gen Stat Sec 7-291b</w:t>
      </w:r>
      <w:r>
        <w:rPr>
          <w:rFonts w:asciiTheme="minorHAnsi" w:eastAsia="MS Mincho" w:hAnsiTheme="minorHAnsi" w:cstheme="minorHAnsi"/>
          <w:sz w:val="20"/>
          <w:szCs w:val="20"/>
        </w:rPr>
        <w:t xml:space="preserve">. </w:t>
      </w:r>
      <w:r w:rsidRPr="005044CE">
        <w:rPr>
          <w:rFonts w:asciiTheme="minorHAnsi" w:eastAsia="MS Mincho" w:hAnsiTheme="minorHAnsi" w:cstheme="minorHAnsi"/>
          <w:color w:val="FF0000"/>
          <w:sz w:val="20"/>
          <w:szCs w:val="20"/>
        </w:rPr>
        <w:t xml:space="preserve">Moreover, </w:t>
      </w:r>
      <w:r w:rsidR="005044CE" w:rsidRPr="005044CE">
        <w:rPr>
          <w:rFonts w:asciiTheme="minorHAnsi" w:eastAsia="MS Mincho" w:hAnsiTheme="minorHAnsi" w:cstheme="minorHAnsi"/>
          <w:color w:val="FF0000"/>
          <w:sz w:val="20"/>
          <w:szCs w:val="20"/>
        </w:rPr>
        <w:t xml:space="preserve">directives that specify inclusive processes such as community involvement through onsite assessments or community forums can support diversification efforts within agencies. </w:t>
      </w:r>
      <w:r w:rsidR="005044CE">
        <w:rPr>
          <w:rFonts w:asciiTheme="minorHAnsi" w:eastAsia="MS Mincho" w:hAnsiTheme="minorHAnsi" w:cstheme="minorHAnsi"/>
          <w:sz w:val="20"/>
          <w:szCs w:val="20"/>
        </w:rPr>
        <w:t>E</w:t>
      </w:r>
      <w:r>
        <w:rPr>
          <w:rFonts w:asciiTheme="minorHAnsi" w:eastAsia="MS Mincho" w:hAnsiTheme="minorHAnsi" w:cstheme="minorHAnsi"/>
          <w:sz w:val="20"/>
          <w:szCs w:val="20"/>
        </w:rPr>
        <w:t xml:space="preserve">stablishing </w:t>
      </w:r>
      <w:r w:rsidR="005044CE" w:rsidRPr="005044CE">
        <w:rPr>
          <w:rFonts w:asciiTheme="minorHAnsi" w:eastAsia="MS Mincho" w:hAnsiTheme="minorHAnsi" w:cstheme="minorHAnsi"/>
          <w:color w:val="FF0000"/>
          <w:sz w:val="20"/>
          <w:szCs w:val="20"/>
        </w:rPr>
        <w:t>both types of</w:t>
      </w:r>
      <w:r w:rsidRPr="005044CE">
        <w:rPr>
          <w:rFonts w:asciiTheme="minorHAnsi" w:eastAsia="MS Mincho" w:hAnsiTheme="minorHAnsi" w:cstheme="minorHAnsi"/>
          <w:color w:val="FF0000"/>
          <w:sz w:val="20"/>
          <w:szCs w:val="20"/>
        </w:rPr>
        <w:t xml:space="preserve"> directives </w:t>
      </w:r>
      <w:r>
        <w:rPr>
          <w:rFonts w:asciiTheme="minorHAnsi" w:eastAsia="MS Mincho" w:hAnsiTheme="minorHAnsi" w:cstheme="minorHAnsi"/>
          <w:sz w:val="20"/>
          <w:szCs w:val="20"/>
        </w:rPr>
        <w:t xml:space="preserve">via an accrediting body emphasizes commitment to the underlying goal of diversification. Consistent with CALEA’s model, these directives would </w:t>
      </w:r>
      <w:r w:rsidR="004A41CD">
        <w:rPr>
          <w:rFonts w:asciiTheme="minorHAnsi" w:eastAsia="MS Mincho" w:hAnsiTheme="minorHAnsi" w:cstheme="minorHAnsi"/>
          <w:sz w:val="20"/>
          <w:szCs w:val="20"/>
        </w:rPr>
        <w:t xml:space="preserve">require implementation of performance measures </w:t>
      </w:r>
      <w:r w:rsidR="00833A08">
        <w:rPr>
          <w:rFonts w:asciiTheme="minorHAnsi" w:eastAsia="MS Mincho" w:hAnsiTheme="minorHAnsi" w:cstheme="minorHAnsi"/>
          <w:sz w:val="20"/>
          <w:szCs w:val="20"/>
        </w:rPr>
        <w:t>and regular reporting within each organization. Moreover, diversification directives would</w:t>
      </w:r>
      <w:r w:rsidR="004A41CD">
        <w:rPr>
          <w:rFonts w:asciiTheme="minorHAnsi" w:eastAsia="MS Mincho" w:hAnsiTheme="minorHAnsi" w:cstheme="minorHAnsi"/>
          <w:sz w:val="20"/>
          <w:szCs w:val="20"/>
        </w:rPr>
        <w:t xml:space="preserve"> </w:t>
      </w:r>
      <w:r>
        <w:rPr>
          <w:rFonts w:asciiTheme="minorHAnsi" w:eastAsia="MS Mincho" w:hAnsiTheme="minorHAnsi" w:cstheme="minorHAnsi"/>
          <w:sz w:val="20"/>
          <w:szCs w:val="20"/>
        </w:rPr>
        <w:t xml:space="preserve">be subject to external review </w:t>
      </w:r>
      <w:r>
        <w:rPr>
          <w:rFonts w:asciiTheme="minorHAnsi" w:eastAsia="MS Mincho" w:hAnsiTheme="minorHAnsi" w:cstheme="minorHAnsi"/>
          <w:sz w:val="20"/>
          <w:szCs w:val="20"/>
        </w:rPr>
        <w:t>providing meaningful feedback to organizations</w:t>
      </w:r>
      <w:r w:rsidR="00833A08">
        <w:rPr>
          <w:rFonts w:asciiTheme="minorHAnsi" w:eastAsia="MS Mincho" w:hAnsiTheme="minorHAnsi" w:cstheme="minorHAnsi"/>
          <w:sz w:val="20"/>
          <w:szCs w:val="20"/>
        </w:rPr>
        <w:t xml:space="preserve"> about their progress toward diversification goals</w:t>
      </w:r>
      <w:r>
        <w:rPr>
          <w:rFonts w:asciiTheme="minorHAnsi" w:eastAsia="MS Mincho" w:hAnsiTheme="minorHAnsi" w:cstheme="minorHAnsi"/>
          <w:sz w:val="20"/>
          <w:szCs w:val="20"/>
        </w:rPr>
        <w:t>.</w:t>
      </w:r>
    </w:p>
    <w:p w14:paraId="0061E023" w14:textId="77777777" w:rsidR="000821CD" w:rsidRPr="00C457E9" w:rsidRDefault="000821CD" w:rsidP="000821CD">
      <w:pPr>
        <w:spacing w:line="240" w:lineRule="auto"/>
        <w:rPr>
          <w:rFonts w:asciiTheme="minorHAnsi" w:eastAsia="MS Mincho" w:hAnsiTheme="minorHAnsi" w:cstheme="minorHAnsi"/>
          <w:sz w:val="10"/>
          <w:szCs w:val="10"/>
        </w:rPr>
      </w:pPr>
    </w:p>
    <w:p w14:paraId="45E04A40" w14:textId="77777777" w:rsidR="000821CD" w:rsidRPr="000821CD" w:rsidRDefault="000821CD" w:rsidP="000821CD">
      <w:pPr>
        <w:spacing w:line="240" w:lineRule="auto"/>
        <w:rPr>
          <w:rFonts w:asciiTheme="minorHAnsi" w:eastAsia="MS Mincho" w:hAnsiTheme="minorHAnsi" w:cstheme="minorHAnsi"/>
          <w:b/>
          <w:bCs/>
          <w:sz w:val="20"/>
          <w:szCs w:val="20"/>
        </w:rPr>
      </w:pPr>
      <w:r w:rsidRPr="000821CD">
        <w:rPr>
          <w:rFonts w:asciiTheme="minorHAnsi" w:eastAsia="MS Mincho" w:hAnsiTheme="minorHAnsi" w:cstheme="minorHAnsi"/>
          <w:b/>
          <w:bCs/>
          <w:sz w:val="20"/>
          <w:szCs w:val="20"/>
        </w:rPr>
        <w:t>Recommendation 2: State-level dissemination of promising practices in recruiting and hiring, promotion, training, and promotion that effectively support diversification</w:t>
      </w:r>
    </w:p>
    <w:p w14:paraId="6E0A7852" w14:textId="133CA5A3" w:rsidR="000821CD" w:rsidRDefault="000821CD" w:rsidP="000821CD">
      <w:pPr>
        <w:spacing w:line="240" w:lineRule="auto"/>
        <w:rPr>
          <w:rFonts w:asciiTheme="minorHAnsi" w:eastAsia="MS Mincho" w:hAnsiTheme="minorHAnsi" w:cstheme="minorHAnsi"/>
          <w:sz w:val="20"/>
          <w:szCs w:val="20"/>
        </w:rPr>
      </w:pPr>
      <w:r w:rsidRPr="000821CD">
        <w:rPr>
          <w:rFonts w:asciiTheme="minorHAnsi" w:eastAsia="MS Mincho" w:hAnsiTheme="minorHAnsi" w:cstheme="minorHAnsi"/>
          <w:sz w:val="20"/>
          <w:szCs w:val="20"/>
        </w:rPr>
        <w:t xml:space="preserve">It is recommended that the state engage an authorized agent or agency to maintain and disseminate information on promising practices in recruiting and hiring, promotion. </w:t>
      </w:r>
    </w:p>
    <w:p w14:paraId="18AB2639" w14:textId="77777777" w:rsidR="00833A08" w:rsidRPr="00833A08" w:rsidRDefault="00833A08" w:rsidP="000821CD">
      <w:pPr>
        <w:spacing w:line="240" w:lineRule="auto"/>
        <w:rPr>
          <w:rFonts w:asciiTheme="minorHAnsi" w:eastAsia="MS Mincho" w:hAnsiTheme="minorHAnsi" w:cstheme="minorHAnsi"/>
          <w:sz w:val="10"/>
          <w:szCs w:val="10"/>
        </w:rPr>
      </w:pPr>
    </w:p>
    <w:p w14:paraId="179C3AF6" w14:textId="77777777" w:rsidR="000821CD" w:rsidRPr="000821CD" w:rsidRDefault="000821CD" w:rsidP="000821CD">
      <w:pPr>
        <w:spacing w:line="240" w:lineRule="auto"/>
        <w:rPr>
          <w:rFonts w:asciiTheme="minorHAnsi" w:eastAsia="MS Mincho" w:hAnsiTheme="minorHAnsi" w:cstheme="minorHAnsi"/>
          <w:b/>
          <w:bCs/>
          <w:sz w:val="20"/>
          <w:szCs w:val="20"/>
        </w:rPr>
      </w:pPr>
      <w:r w:rsidRPr="000821CD">
        <w:rPr>
          <w:rFonts w:asciiTheme="minorHAnsi" w:eastAsia="MS Mincho" w:hAnsiTheme="minorHAnsi" w:cstheme="minorHAnsi"/>
          <w:b/>
          <w:bCs/>
          <w:sz w:val="20"/>
          <w:szCs w:val="20"/>
        </w:rPr>
        <w:t>Rationale</w:t>
      </w:r>
    </w:p>
    <w:p w14:paraId="7F013F04" w14:textId="7F3E3565" w:rsidR="000821CD" w:rsidRDefault="000821CD" w:rsidP="000821CD">
      <w:pPr>
        <w:spacing w:line="240" w:lineRule="auto"/>
        <w:rPr>
          <w:rFonts w:asciiTheme="minorHAnsi" w:eastAsia="MS Mincho" w:hAnsiTheme="minorHAnsi" w:cstheme="minorHAnsi"/>
          <w:sz w:val="20"/>
          <w:szCs w:val="20"/>
        </w:rPr>
      </w:pPr>
      <w:r w:rsidRPr="000821CD">
        <w:rPr>
          <w:rFonts w:asciiTheme="minorHAnsi" w:eastAsia="MS Mincho" w:hAnsiTheme="minorHAnsi" w:cstheme="minorHAnsi"/>
          <w:sz w:val="20"/>
          <w:szCs w:val="20"/>
        </w:rPr>
        <w:t>There is currently no source for information for agencies trying to adopt better practices in recruiting and hiring, promotion, and training that provides consistent, reliable, and up to date information on best practices. Moreover, given regional differences it is unclear whether strategies that have demonstrated initial success in other locations would be feasible or effective in Connecticut. State level dissemination on promising practices would develop a repository of information as a resource for departments within the state and serve as a mechanism to publicize local knowledge about what works (see Recommendation 3).</w:t>
      </w:r>
    </w:p>
    <w:p w14:paraId="109368B1" w14:textId="022411AA" w:rsidR="00C457E9" w:rsidRPr="00C457E9" w:rsidRDefault="00C457E9" w:rsidP="000821CD">
      <w:pPr>
        <w:spacing w:line="240" w:lineRule="auto"/>
        <w:rPr>
          <w:rFonts w:asciiTheme="minorHAnsi" w:eastAsia="MS Mincho" w:hAnsiTheme="minorHAnsi" w:cstheme="minorHAnsi"/>
          <w:sz w:val="10"/>
          <w:szCs w:val="10"/>
        </w:rPr>
      </w:pPr>
    </w:p>
    <w:p w14:paraId="16DA1B56" w14:textId="77777777" w:rsidR="000821CD" w:rsidRPr="000821CD" w:rsidRDefault="000821CD" w:rsidP="000821CD">
      <w:pPr>
        <w:spacing w:line="240" w:lineRule="auto"/>
        <w:rPr>
          <w:rFonts w:asciiTheme="minorHAnsi" w:eastAsia="MS Mincho" w:hAnsiTheme="minorHAnsi" w:cstheme="minorHAnsi"/>
          <w:sz w:val="20"/>
          <w:szCs w:val="20"/>
        </w:rPr>
      </w:pPr>
      <w:r w:rsidRPr="000821CD">
        <w:rPr>
          <w:rFonts w:asciiTheme="minorHAnsi" w:eastAsia="MS Mincho" w:hAnsiTheme="minorHAnsi" w:cstheme="minorHAnsi"/>
          <w:sz w:val="20"/>
          <w:szCs w:val="20"/>
        </w:rPr>
        <w:t>The following strategies are recommended as part of the initial effort:</w:t>
      </w:r>
    </w:p>
    <w:p w14:paraId="485762B8" w14:textId="77777777" w:rsidR="000821CD" w:rsidRPr="00C457E9" w:rsidRDefault="000821CD" w:rsidP="000821CD">
      <w:pPr>
        <w:spacing w:line="240" w:lineRule="auto"/>
        <w:rPr>
          <w:rFonts w:asciiTheme="minorHAnsi" w:eastAsia="MS Mincho" w:hAnsiTheme="minorHAnsi" w:cstheme="minorHAnsi"/>
          <w:sz w:val="10"/>
          <w:szCs w:val="10"/>
        </w:rPr>
      </w:pPr>
    </w:p>
    <w:p w14:paraId="5B731AB0" w14:textId="77777777" w:rsidR="000821CD" w:rsidRPr="000821CD" w:rsidRDefault="000821CD" w:rsidP="000821CD">
      <w:pPr>
        <w:spacing w:line="240" w:lineRule="auto"/>
        <w:rPr>
          <w:rFonts w:asciiTheme="minorHAnsi" w:eastAsia="MS Mincho" w:hAnsiTheme="minorHAnsi" w:cstheme="minorHAnsi"/>
          <w:sz w:val="20"/>
          <w:szCs w:val="20"/>
          <w:u w:val="single"/>
        </w:rPr>
      </w:pPr>
      <w:r w:rsidRPr="000821CD">
        <w:rPr>
          <w:rFonts w:asciiTheme="minorHAnsi" w:eastAsia="MS Mincho" w:hAnsiTheme="minorHAnsi" w:cstheme="minorHAnsi"/>
          <w:sz w:val="20"/>
          <w:szCs w:val="20"/>
          <w:u w:val="single"/>
        </w:rPr>
        <w:t>Recruiting</w:t>
      </w:r>
    </w:p>
    <w:p w14:paraId="59CB4B75" w14:textId="077F9F4B" w:rsidR="000821CD" w:rsidRPr="001D44B1" w:rsidRDefault="000821CD" w:rsidP="00F156B7">
      <w:pPr>
        <w:pStyle w:val="ListParagraph"/>
        <w:numPr>
          <w:ilvl w:val="0"/>
          <w:numId w:val="14"/>
        </w:numPr>
        <w:spacing w:line="240" w:lineRule="auto"/>
        <w:rPr>
          <w:rFonts w:asciiTheme="minorHAnsi" w:eastAsia="MS Mincho" w:hAnsiTheme="minorHAnsi" w:cstheme="minorHAnsi"/>
          <w:i/>
          <w:iCs/>
          <w:sz w:val="20"/>
          <w:szCs w:val="20"/>
        </w:rPr>
      </w:pPr>
      <w:r w:rsidRPr="001D44B1">
        <w:rPr>
          <w:rFonts w:asciiTheme="minorHAnsi" w:eastAsia="MS Mincho" w:hAnsiTheme="minorHAnsi" w:cstheme="minorHAnsi"/>
          <w:i/>
          <w:iCs/>
          <w:sz w:val="20"/>
          <w:szCs w:val="20"/>
        </w:rPr>
        <w:t>Diversify the types of outreach activities conducted related to recruiting. Expand beyond job fair, military, cultural event, and university recruiting</w:t>
      </w:r>
      <w:r w:rsidRPr="000821CD">
        <w:rPr>
          <w:rFonts w:asciiTheme="minorHAnsi" w:hAnsiTheme="minorHAnsi" w:cstheme="minorHAnsi"/>
          <w:sz w:val="20"/>
          <w:szCs w:val="20"/>
          <w:vertAlign w:val="superscript"/>
        </w:rPr>
        <w:footnoteReference w:id="10"/>
      </w:r>
      <w:r w:rsidRPr="001D44B1">
        <w:rPr>
          <w:rFonts w:asciiTheme="minorHAnsi" w:eastAsia="MS Mincho" w:hAnsiTheme="minorHAnsi" w:cstheme="minorHAnsi"/>
          <w:sz w:val="20"/>
          <w:szCs w:val="20"/>
        </w:rPr>
        <w:t>. Depending on when and where events are held, these events can lead to less diversity in the candidate pool. While cultural events seem like a good way to access diverse populations, some evidence suggests that they are ineffective at generating applications.</w:t>
      </w:r>
    </w:p>
    <w:p w14:paraId="7A157014" w14:textId="0FA220A6" w:rsidR="000821CD" w:rsidRPr="000821CD" w:rsidRDefault="000821CD" w:rsidP="000821CD">
      <w:pPr>
        <w:pStyle w:val="ListParagraph"/>
        <w:numPr>
          <w:ilvl w:val="0"/>
          <w:numId w:val="14"/>
        </w:numPr>
        <w:spacing w:line="240" w:lineRule="auto"/>
        <w:rPr>
          <w:rFonts w:asciiTheme="minorHAnsi" w:eastAsia="MS Mincho" w:hAnsiTheme="minorHAnsi" w:cstheme="minorHAnsi"/>
          <w:sz w:val="20"/>
          <w:szCs w:val="20"/>
        </w:rPr>
      </w:pPr>
      <w:r w:rsidRPr="000821CD">
        <w:rPr>
          <w:rFonts w:asciiTheme="minorHAnsi" w:eastAsia="MS Mincho" w:hAnsiTheme="minorHAnsi" w:cstheme="minorHAnsi"/>
          <w:i/>
          <w:iCs/>
          <w:sz w:val="20"/>
          <w:szCs w:val="20"/>
        </w:rPr>
        <w:t>Openly address concerns about sexism in law enforcement when recruiting women</w:t>
      </w:r>
      <w:r w:rsidRPr="000821CD">
        <w:rPr>
          <w:rFonts w:asciiTheme="minorHAnsi" w:hAnsiTheme="minorHAnsi" w:cstheme="minorHAnsi"/>
          <w:sz w:val="20"/>
          <w:szCs w:val="20"/>
          <w:vertAlign w:val="superscript"/>
        </w:rPr>
        <w:footnoteReference w:id="11"/>
      </w:r>
      <w:r w:rsidRPr="000821CD">
        <w:rPr>
          <w:rFonts w:asciiTheme="minorHAnsi" w:eastAsia="MS Mincho" w:hAnsiTheme="minorHAnsi" w:cstheme="minorHAnsi"/>
          <w:sz w:val="20"/>
          <w:szCs w:val="20"/>
        </w:rPr>
        <w:t>.</w:t>
      </w:r>
    </w:p>
    <w:p w14:paraId="2379BB29" w14:textId="77777777" w:rsidR="000821CD" w:rsidRPr="000821CD" w:rsidRDefault="000821CD" w:rsidP="000821CD">
      <w:pPr>
        <w:pStyle w:val="ListParagraph"/>
        <w:spacing w:line="240" w:lineRule="auto"/>
        <w:rPr>
          <w:rFonts w:asciiTheme="minorHAnsi" w:eastAsia="MS Mincho" w:hAnsiTheme="minorHAnsi" w:cstheme="minorHAnsi"/>
          <w:sz w:val="20"/>
          <w:szCs w:val="20"/>
        </w:rPr>
      </w:pPr>
      <w:r w:rsidRPr="000821CD">
        <w:rPr>
          <w:rFonts w:asciiTheme="minorHAnsi" w:eastAsia="MS Mincho" w:hAnsiTheme="minorHAnsi" w:cstheme="minorHAnsi"/>
          <w:sz w:val="20"/>
          <w:szCs w:val="20"/>
        </w:rPr>
        <w:t xml:space="preserve">Evidence suggests that women that have experience in the workforce are more likely to be aware of the impact of sexism in organizations, and concerns about these issues in law enforcement may limit interest. Transparency and willingness or organizations to openly discuss these issues </w:t>
      </w:r>
      <w:r w:rsidRPr="000821CD">
        <w:rPr>
          <w:rFonts w:asciiTheme="minorHAnsi" w:eastAsia="MS Mincho" w:hAnsiTheme="minorHAnsi" w:cstheme="minorHAnsi"/>
          <w:sz w:val="20"/>
          <w:szCs w:val="20"/>
        </w:rPr>
        <w:lastRenderedPageBreak/>
        <w:t xml:space="preserve">suggest an organizational culture capable of supporting women. </w:t>
      </w:r>
    </w:p>
    <w:p w14:paraId="100DCC2B" w14:textId="77777777" w:rsidR="000821CD" w:rsidRPr="000821CD" w:rsidRDefault="000821CD" w:rsidP="000821CD">
      <w:pPr>
        <w:pStyle w:val="ListParagraph"/>
        <w:numPr>
          <w:ilvl w:val="0"/>
          <w:numId w:val="14"/>
        </w:numPr>
        <w:spacing w:line="240" w:lineRule="auto"/>
        <w:rPr>
          <w:rFonts w:asciiTheme="minorHAnsi" w:eastAsia="MS Mincho" w:hAnsiTheme="minorHAnsi" w:cstheme="minorHAnsi"/>
          <w:sz w:val="20"/>
          <w:szCs w:val="20"/>
        </w:rPr>
      </w:pPr>
      <w:r w:rsidRPr="000821CD">
        <w:rPr>
          <w:rFonts w:asciiTheme="minorHAnsi" w:eastAsia="MS Mincho" w:hAnsiTheme="minorHAnsi" w:cstheme="minorHAnsi"/>
          <w:i/>
          <w:iCs/>
          <w:sz w:val="20"/>
          <w:szCs w:val="20"/>
        </w:rPr>
        <w:t>Openly address concerns about ability when recruiting college-age women</w:t>
      </w:r>
      <w:r w:rsidRPr="000821CD">
        <w:rPr>
          <w:rFonts w:asciiTheme="minorHAnsi" w:eastAsia="MS Mincho" w:hAnsiTheme="minorHAnsi" w:cstheme="minorHAnsi"/>
          <w:sz w:val="20"/>
          <w:szCs w:val="20"/>
          <w:vertAlign w:val="superscript"/>
        </w:rPr>
        <w:t>11</w:t>
      </w:r>
      <w:r w:rsidRPr="000821CD">
        <w:rPr>
          <w:rFonts w:asciiTheme="minorHAnsi" w:eastAsia="MS Mincho" w:hAnsiTheme="minorHAnsi" w:cstheme="minorHAnsi"/>
          <w:sz w:val="20"/>
          <w:szCs w:val="20"/>
        </w:rPr>
        <w:t>. Evidence suggests that younger women are more likely to be concerned about their ability to work in policing. Emphasizing that women can work in the career is an important message.</w:t>
      </w:r>
    </w:p>
    <w:p w14:paraId="7C5E50E7" w14:textId="77777777" w:rsidR="000821CD" w:rsidRPr="000821CD" w:rsidRDefault="000821CD" w:rsidP="000821CD">
      <w:pPr>
        <w:pStyle w:val="ListParagraph"/>
        <w:numPr>
          <w:ilvl w:val="0"/>
          <w:numId w:val="14"/>
        </w:numPr>
        <w:spacing w:line="240" w:lineRule="auto"/>
        <w:rPr>
          <w:rFonts w:asciiTheme="minorHAnsi" w:eastAsia="MS Mincho" w:hAnsiTheme="minorHAnsi" w:cstheme="minorHAnsi"/>
          <w:sz w:val="20"/>
          <w:szCs w:val="20"/>
        </w:rPr>
      </w:pPr>
      <w:r w:rsidRPr="000821CD">
        <w:rPr>
          <w:rFonts w:asciiTheme="minorHAnsi" w:eastAsia="MS Mincho" w:hAnsiTheme="minorHAnsi" w:cstheme="minorHAnsi"/>
          <w:i/>
          <w:iCs/>
          <w:sz w:val="20"/>
          <w:szCs w:val="20"/>
        </w:rPr>
        <w:t>Emphasize the challenge aspects of law enforcement careers to attract more female and racial/ethnic minority candidates</w:t>
      </w:r>
      <w:r w:rsidRPr="000821CD">
        <w:rPr>
          <w:rFonts w:asciiTheme="minorHAnsi" w:hAnsiTheme="minorHAnsi" w:cstheme="minorHAnsi"/>
          <w:sz w:val="20"/>
          <w:szCs w:val="20"/>
          <w:vertAlign w:val="superscript"/>
        </w:rPr>
        <w:footnoteReference w:id="12"/>
      </w:r>
      <w:r w:rsidRPr="000821CD">
        <w:rPr>
          <w:rFonts w:asciiTheme="minorHAnsi" w:eastAsia="MS Mincho" w:hAnsiTheme="minorHAnsi" w:cstheme="minorHAnsi"/>
          <w:sz w:val="20"/>
          <w:szCs w:val="20"/>
        </w:rPr>
        <w:t>. Evidence suggests that service messages are ineffective at increasing applicant pools. Challenge messages increase the number of applicants and increases the relative number of applications from diverse groups.</w:t>
      </w:r>
    </w:p>
    <w:p w14:paraId="4952B277" w14:textId="77777777" w:rsidR="000821CD" w:rsidRPr="000821CD" w:rsidRDefault="000821CD" w:rsidP="000821CD">
      <w:pPr>
        <w:pStyle w:val="ListParagraph"/>
        <w:numPr>
          <w:ilvl w:val="0"/>
          <w:numId w:val="14"/>
        </w:numPr>
        <w:spacing w:line="240" w:lineRule="auto"/>
        <w:rPr>
          <w:rFonts w:asciiTheme="minorHAnsi" w:eastAsia="MS Mincho" w:hAnsiTheme="minorHAnsi" w:cstheme="minorHAnsi"/>
          <w:sz w:val="20"/>
          <w:szCs w:val="20"/>
        </w:rPr>
      </w:pPr>
      <w:r w:rsidRPr="000821CD">
        <w:rPr>
          <w:rFonts w:asciiTheme="minorHAnsi" w:eastAsia="MS Mincho" w:hAnsiTheme="minorHAnsi" w:cstheme="minorHAnsi"/>
          <w:i/>
          <w:iCs/>
          <w:sz w:val="20"/>
          <w:szCs w:val="20"/>
        </w:rPr>
        <w:t>Emphasize job security in law enforcement careers to attract more female and racial/ethnic minority candidates</w:t>
      </w:r>
      <w:r w:rsidRPr="000821CD">
        <w:rPr>
          <w:rFonts w:asciiTheme="minorHAnsi" w:eastAsia="MS Mincho" w:hAnsiTheme="minorHAnsi" w:cstheme="minorHAnsi"/>
          <w:sz w:val="20"/>
          <w:szCs w:val="20"/>
          <w:vertAlign w:val="superscript"/>
        </w:rPr>
        <w:t>12</w:t>
      </w:r>
      <w:r w:rsidRPr="000821CD">
        <w:rPr>
          <w:rFonts w:asciiTheme="minorHAnsi" w:eastAsia="MS Mincho" w:hAnsiTheme="minorHAnsi" w:cstheme="minorHAnsi"/>
          <w:sz w:val="20"/>
          <w:szCs w:val="20"/>
        </w:rPr>
        <w:t>. Similar to the previous recommendation, emphasis on job security can increase the relative number of applications from diverse groups.</w:t>
      </w:r>
    </w:p>
    <w:p w14:paraId="04956583" w14:textId="77777777" w:rsidR="000821CD" w:rsidRPr="00C457E9" w:rsidRDefault="000821CD" w:rsidP="000821CD">
      <w:pPr>
        <w:spacing w:line="240" w:lineRule="auto"/>
        <w:rPr>
          <w:rFonts w:asciiTheme="minorHAnsi" w:eastAsia="MS Mincho" w:hAnsiTheme="minorHAnsi" w:cstheme="minorHAnsi"/>
          <w:sz w:val="10"/>
          <w:szCs w:val="10"/>
        </w:rPr>
      </w:pPr>
    </w:p>
    <w:p w14:paraId="726403BD" w14:textId="77777777" w:rsidR="000821CD" w:rsidRPr="000821CD" w:rsidRDefault="000821CD" w:rsidP="000821CD">
      <w:pPr>
        <w:spacing w:line="240" w:lineRule="auto"/>
        <w:rPr>
          <w:rFonts w:asciiTheme="minorHAnsi" w:eastAsia="MS Mincho" w:hAnsiTheme="minorHAnsi" w:cstheme="minorHAnsi"/>
          <w:sz w:val="20"/>
          <w:szCs w:val="20"/>
          <w:u w:val="single"/>
        </w:rPr>
      </w:pPr>
      <w:r w:rsidRPr="000821CD">
        <w:rPr>
          <w:rFonts w:asciiTheme="minorHAnsi" w:eastAsia="MS Mincho" w:hAnsiTheme="minorHAnsi" w:cstheme="minorHAnsi"/>
          <w:sz w:val="20"/>
          <w:szCs w:val="20"/>
          <w:u w:val="single"/>
        </w:rPr>
        <w:t>Hiring</w:t>
      </w:r>
    </w:p>
    <w:p w14:paraId="01F06FDC" w14:textId="77777777" w:rsidR="000821CD" w:rsidRPr="000821CD" w:rsidRDefault="000821CD" w:rsidP="000821CD">
      <w:pPr>
        <w:pStyle w:val="ListParagraph"/>
        <w:numPr>
          <w:ilvl w:val="0"/>
          <w:numId w:val="15"/>
        </w:numPr>
        <w:spacing w:line="240" w:lineRule="auto"/>
        <w:rPr>
          <w:rFonts w:asciiTheme="minorHAnsi" w:eastAsia="MS Mincho" w:hAnsiTheme="minorHAnsi" w:cstheme="minorHAnsi"/>
          <w:sz w:val="20"/>
          <w:szCs w:val="20"/>
        </w:rPr>
      </w:pPr>
      <w:r w:rsidRPr="000821CD">
        <w:rPr>
          <w:rFonts w:asciiTheme="minorHAnsi" w:eastAsia="MS Mincho" w:hAnsiTheme="minorHAnsi" w:cstheme="minorHAnsi"/>
          <w:i/>
          <w:iCs/>
          <w:sz w:val="20"/>
          <w:szCs w:val="20"/>
        </w:rPr>
        <w:t>Reduce processing times for applicants to limit loss through attrition</w:t>
      </w:r>
      <w:r w:rsidRPr="000821CD">
        <w:rPr>
          <w:rFonts w:asciiTheme="minorHAnsi" w:hAnsiTheme="minorHAnsi" w:cstheme="minorHAnsi"/>
          <w:sz w:val="20"/>
          <w:szCs w:val="20"/>
          <w:vertAlign w:val="superscript"/>
        </w:rPr>
        <w:footnoteReference w:id="13"/>
      </w:r>
      <w:r w:rsidRPr="000821CD">
        <w:rPr>
          <w:rFonts w:asciiTheme="minorHAnsi" w:eastAsia="MS Mincho" w:hAnsiTheme="minorHAnsi" w:cstheme="minorHAnsi"/>
          <w:sz w:val="20"/>
          <w:szCs w:val="20"/>
        </w:rPr>
        <w:t>. Evidence suggests that hiring applicants more quickly limits the number of applicants lost in the process. Importantly, this has been demonstrated to be more important among female and minority applicants.</w:t>
      </w:r>
    </w:p>
    <w:p w14:paraId="00000AB1" w14:textId="77777777" w:rsidR="000821CD" w:rsidRPr="000821CD" w:rsidRDefault="000821CD" w:rsidP="000821CD">
      <w:pPr>
        <w:pStyle w:val="ListParagraph"/>
        <w:numPr>
          <w:ilvl w:val="0"/>
          <w:numId w:val="15"/>
        </w:numPr>
        <w:spacing w:line="240" w:lineRule="auto"/>
        <w:rPr>
          <w:rFonts w:asciiTheme="minorHAnsi" w:eastAsia="MS Mincho" w:hAnsiTheme="minorHAnsi" w:cstheme="minorHAnsi"/>
          <w:sz w:val="20"/>
          <w:szCs w:val="20"/>
        </w:rPr>
      </w:pPr>
      <w:r w:rsidRPr="000821CD">
        <w:rPr>
          <w:rFonts w:asciiTheme="minorHAnsi" w:eastAsia="MS Mincho" w:hAnsiTheme="minorHAnsi" w:cstheme="minorHAnsi"/>
          <w:i/>
          <w:iCs/>
          <w:sz w:val="20"/>
          <w:szCs w:val="20"/>
        </w:rPr>
        <w:t>Simplify hiring process instructions/processes to limit confusion among applicants</w:t>
      </w:r>
      <w:r w:rsidRPr="000821CD">
        <w:rPr>
          <w:rFonts w:asciiTheme="minorHAnsi" w:eastAsia="MS Mincho" w:hAnsiTheme="minorHAnsi" w:cstheme="minorHAnsi"/>
          <w:sz w:val="20"/>
          <w:szCs w:val="20"/>
          <w:vertAlign w:val="superscript"/>
        </w:rPr>
        <w:t>13</w:t>
      </w:r>
      <w:r w:rsidRPr="000821CD">
        <w:rPr>
          <w:rFonts w:asciiTheme="minorHAnsi" w:eastAsia="MS Mincho" w:hAnsiTheme="minorHAnsi" w:cstheme="minorHAnsi"/>
          <w:sz w:val="20"/>
          <w:szCs w:val="20"/>
        </w:rPr>
        <w:t>. Evidence suggests that complex hiring processes create confusion increasing attrition.</w:t>
      </w:r>
    </w:p>
    <w:p w14:paraId="1CA6CB86" w14:textId="6262042C" w:rsidR="000821CD" w:rsidRPr="000821CD" w:rsidRDefault="000821CD" w:rsidP="000821CD">
      <w:pPr>
        <w:pStyle w:val="ListParagraph"/>
        <w:numPr>
          <w:ilvl w:val="0"/>
          <w:numId w:val="15"/>
        </w:numPr>
        <w:spacing w:line="240" w:lineRule="auto"/>
        <w:rPr>
          <w:rFonts w:asciiTheme="minorHAnsi" w:eastAsia="MS Mincho" w:hAnsiTheme="minorHAnsi" w:cstheme="minorHAnsi"/>
          <w:sz w:val="20"/>
          <w:szCs w:val="20"/>
        </w:rPr>
      </w:pPr>
      <w:r w:rsidRPr="000821CD">
        <w:rPr>
          <w:rFonts w:asciiTheme="minorHAnsi" w:eastAsia="MS Mincho" w:hAnsiTheme="minorHAnsi" w:cstheme="minorHAnsi"/>
          <w:i/>
          <w:iCs/>
          <w:sz w:val="20"/>
          <w:szCs w:val="20"/>
        </w:rPr>
        <w:t>Incorporate supportive messaging (nudging – e.g., statements like “most applicants complete this process within a week”)</w:t>
      </w:r>
      <w:r w:rsidRPr="000821CD">
        <w:rPr>
          <w:rFonts w:asciiTheme="minorHAnsi" w:eastAsia="MS Mincho" w:hAnsiTheme="minorHAnsi" w:cstheme="minorHAnsi"/>
          <w:sz w:val="20"/>
          <w:szCs w:val="20"/>
          <w:vertAlign w:val="superscript"/>
        </w:rPr>
        <w:t>13</w:t>
      </w:r>
      <w:r w:rsidR="00CE032C">
        <w:rPr>
          <w:rFonts w:asciiTheme="minorHAnsi" w:eastAsia="MS Mincho" w:hAnsiTheme="minorHAnsi" w:cstheme="minorHAnsi"/>
          <w:sz w:val="20"/>
          <w:szCs w:val="20"/>
          <w:vertAlign w:val="superscript"/>
        </w:rPr>
        <w:t>,</w:t>
      </w:r>
      <w:r w:rsidR="00CE032C">
        <w:rPr>
          <w:rStyle w:val="FootnoteReference"/>
          <w:rFonts w:asciiTheme="minorHAnsi" w:eastAsia="MS Mincho" w:hAnsiTheme="minorHAnsi" w:cstheme="minorHAnsi"/>
          <w:sz w:val="20"/>
          <w:szCs w:val="20"/>
        </w:rPr>
        <w:footnoteReference w:id="14"/>
      </w:r>
      <w:r w:rsidRPr="000821CD">
        <w:rPr>
          <w:rFonts w:asciiTheme="minorHAnsi" w:eastAsia="MS Mincho" w:hAnsiTheme="minorHAnsi" w:cstheme="minorHAnsi"/>
          <w:sz w:val="20"/>
          <w:szCs w:val="20"/>
        </w:rPr>
        <w:t xml:space="preserve">. Evidence suggests that loss due to attrition, </w:t>
      </w:r>
      <w:r w:rsidRPr="000821CD">
        <w:rPr>
          <w:rFonts w:asciiTheme="minorHAnsi" w:eastAsia="MS Mincho" w:hAnsiTheme="minorHAnsi" w:cstheme="minorHAnsi"/>
          <w:sz w:val="20"/>
          <w:szCs w:val="20"/>
        </w:rPr>
        <w:t>particularly among diverse applicants, is reduced through nudging.</w:t>
      </w:r>
    </w:p>
    <w:p w14:paraId="45DA8607" w14:textId="77777777" w:rsidR="000821CD" w:rsidRPr="000821CD" w:rsidRDefault="000821CD" w:rsidP="000821CD">
      <w:pPr>
        <w:pStyle w:val="ListParagraph"/>
        <w:numPr>
          <w:ilvl w:val="0"/>
          <w:numId w:val="15"/>
        </w:numPr>
        <w:spacing w:line="240" w:lineRule="auto"/>
        <w:rPr>
          <w:rFonts w:asciiTheme="minorHAnsi" w:eastAsia="MS Mincho" w:hAnsiTheme="minorHAnsi" w:cstheme="minorHAnsi"/>
          <w:sz w:val="20"/>
          <w:szCs w:val="20"/>
        </w:rPr>
      </w:pPr>
      <w:r w:rsidRPr="000821CD">
        <w:rPr>
          <w:rFonts w:asciiTheme="minorHAnsi" w:eastAsia="MS Mincho" w:hAnsiTheme="minorHAnsi" w:cstheme="minorHAnsi"/>
          <w:i/>
          <w:iCs/>
          <w:sz w:val="20"/>
          <w:szCs w:val="20"/>
        </w:rPr>
        <w:t>Analyze qualification criteria to determine which aspects disproportionately impact female and racial/ethnic minority candidates</w:t>
      </w:r>
      <w:r w:rsidRPr="000821CD">
        <w:rPr>
          <w:rFonts w:asciiTheme="minorHAnsi" w:hAnsiTheme="minorHAnsi" w:cstheme="minorHAnsi"/>
          <w:sz w:val="20"/>
          <w:szCs w:val="20"/>
          <w:vertAlign w:val="superscript"/>
        </w:rPr>
        <w:footnoteReference w:id="15"/>
      </w:r>
      <w:r w:rsidRPr="000821CD">
        <w:rPr>
          <w:rFonts w:asciiTheme="minorHAnsi" w:eastAsia="MS Mincho" w:hAnsiTheme="minorHAnsi" w:cstheme="minorHAnsi"/>
          <w:sz w:val="20"/>
          <w:szCs w:val="20"/>
        </w:rPr>
        <w:t>. Hiring processes and pre-employment qualification issues can serve as barriers that disproportionately impact diverse applicants limiting diversity in the hiring process.</w:t>
      </w:r>
    </w:p>
    <w:p w14:paraId="6B5485F5" w14:textId="77777777" w:rsidR="000821CD" w:rsidRPr="000821CD" w:rsidRDefault="000821CD" w:rsidP="000821CD">
      <w:pPr>
        <w:pStyle w:val="ListParagraph"/>
        <w:numPr>
          <w:ilvl w:val="0"/>
          <w:numId w:val="15"/>
        </w:numPr>
        <w:spacing w:line="240" w:lineRule="auto"/>
        <w:rPr>
          <w:rFonts w:asciiTheme="minorHAnsi" w:eastAsia="MS Mincho" w:hAnsiTheme="minorHAnsi" w:cstheme="minorHAnsi"/>
          <w:sz w:val="20"/>
          <w:szCs w:val="20"/>
        </w:rPr>
      </w:pPr>
      <w:r w:rsidRPr="000821CD">
        <w:rPr>
          <w:rFonts w:asciiTheme="minorHAnsi" w:eastAsia="MS Mincho" w:hAnsiTheme="minorHAnsi" w:cstheme="minorHAnsi"/>
          <w:i/>
          <w:iCs/>
          <w:sz w:val="20"/>
          <w:szCs w:val="20"/>
        </w:rPr>
        <w:t>Set standards for evaluating disproportionate impact at equal passing rates rather than at the 80% EEOC compliance threshold</w:t>
      </w:r>
      <w:r w:rsidRPr="000821CD">
        <w:rPr>
          <w:rFonts w:asciiTheme="minorHAnsi" w:hAnsiTheme="minorHAnsi" w:cstheme="minorHAnsi"/>
          <w:sz w:val="20"/>
          <w:szCs w:val="20"/>
          <w:vertAlign w:val="superscript"/>
        </w:rPr>
        <w:footnoteReference w:id="16"/>
      </w:r>
      <w:r w:rsidRPr="000821CD">
        <w:rPr>
          <w:rFonts w:asciiTheme="minorHAnsi" w:eastAsia="MS Mincho" w:hAnsiTheme="minorHAnsi" w:cstheme="minorHAnsi"/>
          <w:sz w:val="20"/>
          <w:szCs w:val="20"/>
        </w:rPr>
        <w:t>. While agencies largely understand EEOC compliance, less attention is paid to the fact that 80% passing rates for diverse applicants necessarily fails to diversify.</w:t>
      </w:r>
    </w:p>
    <w:p w14:paraId="24A3EE35" w14:textId="77777777" w:rsidR="000821CD" w:rsidRPr="00C457E9" w:rsidRDefault="000821CD" w:rsidP="000821CD">
      <w:pPr>
        <w:spacing w:line="240" w:lineRule="auto"/>
        <w:rPr>
          <w:rFonts w:asciiTheme="minorHAnsi" w:eastAsia="MS Mincho" w:hAnsiTheme="minorHAnsi" w:cstheme="minorHAnsi"/>
          <w:b/>
          <w:bCs/>
          <w:sz w:val="10"/>
          <w:szCs w:val="10"/>
        </w:rPr>
      </w:pPr>
    </w:p>
    <w:p w14:paraId="3FF637CD" w14:textId="77777777" w:rsidR="000821CD" w:rsidRPr="000821CD" w:rsidRDefault="000821CD" w:rsidP="000821CD">
      <w:pPr>
        <w:spacing w:line="240" w:lineRule="auto"/>
        <w:rPr>
          <w:rFonts w:asciiTheme="minorHAnsi" w:eastAsia="MS Mincho" w:hAnsiTheme="minorHAnsi" w:cstheme="minorHAnsi"/>
          <w:sz w:val="20"/>
          <w:szCs w:val="20"/>
          <w:u w:val="single"/>
        </w:rPr>
      </w:pPr>
      <w:r w:rsidRPr="000821CD">
        <w:rPr>
          <w:rFonts w:asciiTheme="minorHAnsi" w:eastAsia="MS Mincho" w:hAnsiTheme="minorHAnsi" w:cstheme="minorHAnsi"/>
          <w:sz w:val="20"/>
          <w:szCs w:val="20"/>
          <w:u w:val="single"/>
        </w:rPr>
        <w:t>Training</w:t>
      </w:r>
    </w:p>
    <w:p w14:paraId="63C7976D" w14:textId="77777777" w:rsidR="000821CD" w:rsidRPr="000821CD" w:rsidRDefault="000821CD" w:rsidP="000821CD">
      <w:pPr>
        <w:pStyle w:val="ListParagraph"/>
        <w:numPr>
          <w:ilvl w:val="0"/>
          <w:numId w:val="16"/>
        </w:numPr>
        <w:spacing w:line="240" w:lineRule="auto"/>
        <w:rPr>
          <w:rFonts w:asciiTheme="minorHAnsi" w:eastAsia="MS Mincho" w:hAnsiTheme="minorHAnsi" w:cstheme="minorHAnsi"/>
          <w:i/>
          <w:iCs/>
          <w:sz w:val="20"/>
          <w:szCs w:val="20"/>
        </w:rPr>
      </w:pPr>
      <w:r w:rsidRPr="000821CD">
        <w:rPr>
          <w:rFonts w:asciiTheme="minorHAnsi" w:eastAsia="MS Mincho" w:hAnsiTheme="minorHAnsi" w:cstheme="minorHAnsi"/>
          <w:i/>
          <w:iCs/>
          <w:sz w:val="20"/>
          <w:szCs w:val="20"/>
        </w:rPr>
        <w:t>Adopt or expand adult or active learning principles in academy training</w:t>
      </w:r>
      <w:r w:rsidRPr="000821CD">
        <w:rPr>
          <w:rFonts w:asciiTheme="minorHAnsi" w:hAnsiTheme="minorHAnsi" w:cstheme="minorHAnsi"/>
          <w:sz w:val="20"/>
          <w:szCs w:val="20"/>
          <w:vertAlign w:val="superscript"/>
        </w:rPr>
        <w:footnoteReference w:id="17"/>
      </w:r>
      <w:r w:rsidRPr="000821CD">
        <w:rPr>
          <w:rFonts w:asciiTheme="minorHAnsi" w:eastAsia="MS Mincho" w:hAnsiTheme="minorHAnsi" w:cstheme="minorHAnsi"/>
          <w:i/>
          <w:iCs/>
          <w:sz w:val="20"/>
          <w:szCs w:val="20"/>
        </w:rPr>
        <w:t xml:space="preserve">. </w:t>
      </w:r>
      <w:r w:rsidRPr="000821CD">
        <w:rPr>
          <w:rFonts w:asciiTheme="minorHAnsi" w:eastAsia="MS Mincho" w:hAnsiTheme="minorHAnsi" w:cstheme="minorHAnsi"/>
          <w:sz w:val="20"/>
          <w:szCs w:val="20"/>
        </w:rPr>
        <w:t>Shifting training models supports best practices in adult learning and alters training academy dynamics which my contribute to attrition.</w:t>
      </w:r>
    </w:p>
    <w:p w14:paraId="77A47E94" w14:textId="60193998" w:rsidR="000821CD" w:rsidRPr="001D44B1" w:rsidRDefault="000821CD" w:rsidP="00927987">
      <w:pPr>
        <w:pStyle w:val="ListParagraph"/>
        <w:numPr>
          <w:ilvl w:val="0"/>
          <w:numId w:val="16"/>
        </w:numPr>
        <w:spacing w:line="240" w:lineRule="auto"/>
        <w:rPr>
          <w:rFonts w:asciiTheme="minorHAnsi" w:eastAsia="MS Mincho" w:hAnsiTheme="minorHAnsi" w:cstheme="minorHAnsi"/>
          <w:i/>
          <w:iCs/>
          <w:sz w:val="20"/>
          <w:szCs w:val="20"/>
        </w:rPr>
      </w:pPr>
      <w:r w:rsidRPr="001D44B1">
        <w:rPr>
          <w:rFonts w:asciiTheme="minorHAnsi" w:eastAsia="MS Mincho" w:hAnsiTheme="minorHAnsi" w:cstheme="minorHAnsi"/>
          <w:i/>
          <w:iCs/>
          <w:sz w:val="20"/>
          <w:szCs w:val="20"/>
        </w:rPr>
        <w:t>Reduce emphasis on paramilitary approaches to training</w:t>
      </w:r>
      <w:r w:rsidRPr="000821CD">
        <w:rPr>
          <w:rFonts w:asciiTheme="minorHAnsi" w:hAnsiTheme="minorHAnsi" w:cstheme="minorHAnsi"/>
          <w:sz w:val="20"/>
          <w:szCs w:val="20"/>
          <w:vertAlign w:val="superscript"/>
        </w:rPr>
        <w:footnoteReference w:id="18"/>
      </w:r>
      <w:r w:rsidRPr="001D44B1">
        <w:rPr>
          <w:rFonts w:asciiTheme="minorHAnsi" w:eastAsia="MS Mincho" w:hAnsiTheme="minorHAnsi" w:cstheme="minorHAnsi"/>
          <w:sz w:val="20"/>
          <w:szCs w:val="20"/>
        </w:rPr>
        <w:t>. The paramilitary training model is related to the concept of a “hidden academy” where organizational values are learned. These experiences can lead to attrition, particularly among diverse cadets.</w:t>
      </w:r>
    </w:p>
    <w:p w14:paraId="26A867ED" w14:textId="04BD925C" w:rsidR="000821CD" w:rsidRPr="000821CD" w:rsidRDefault="000821CD" w:rsidP="000821CD">
      <w:pPr>
        <w:pStyle w:val="ListParagraph"/>
        <w:numPr>
          <w:ilvl w:val="0"/>
          <w:numId w:val="16"/>
        </w:numPr>
        <w:spacing w:line="240" w:lineRule="auto"/>
        <w:rPr>
          <w:rFonts w:asciiTheme="minorHAnsi" w:eastAsia="MS Mincho" w:hAnsiTheme="minorHAnsi" w:cstheme="minorHAnsi"/>
          <w:sz w:val="20"/>
          <w:szCs w:val="20"/>
        </w:rPr>
      </w:pPr>
      <w:r w:rsidRPr="000821CD">
        <w:rPr>
          <w:rFonts w:asciiTheme="minorHAnsi" w:eastAsia="MS Mincho" w:hAnsiTheme="minorHAnsi" w:cstheme="minorHAnsi"/>
          <w:i/>
          <w:iCs/>
          <w:sz w:val="20"/>
          <w:szCs w:val="20"/>
        </w:rPr>
        <w:t>Increase support networks for cadets through mentoring programs</w:t>
      </w:r>
      <w:r w:rsidRPr="000821CD">
        <w:rPr>
          <w:rFonts w:asciiTheme="minorHAnsi" w:hAnsiTheme="minorHAnsi" w:cstheme="minorHAnsi"/>
          <w:sz w:val="20"/>
          <w:szCs w:val="20"/>
          <w:vertAlign w:val="superscript"/>
        </w:rPr>
        <w:footnoteReference w:id="19"/>
      </w:r>
      <w:r w:rsidRPr="000821CD">
        <w:rPr>
          <w:rFonts w:asciiTheme="minorHAnsi" w:eastAsia="MS Mincho" w:hAnsiTheme="minorHAnsi" w:cstheme="minorHAnsi"/>
          <w:sz w:val="20"/>
          <w:szCs w:val="20"/>
        </w:rPr>
        <w:t>. Evidence suggests that mentoring programs for female and minority cadets can increase retention rates by helping these cadets navigate the challenges of the environment.</w:t>
      </w:r>
    </w:p>
    <w:p w14:paraId="25A7C98A" w14:textId="77777777" w:rsidR="000821CD" w:rsidRPr="000821CD" w:rsidRDefault="000821CD" w:rsidP="000821CD">
      <w:pPr>
        <w:pStyle w:val="ListParagraph"/>
        <w:numPr>
          <w:ilvl w:val="0"/>
          <w:numId w:val="16"/>
        </w:numPr>
        <w:spacing w:line="240" w:lineRule="auto"/>
        <w:rPr>
          <w:rFonts w:asciiTheme="minorHAnsi" w:eastAsia="MS Mincho" w:hAnsiTheme="minorHAnsi" w:cstheme="minorHAnsi"/>
          <w:sz w:val="20"/>
          <w:szCs w:val="20"/>
        </w:rPr>
      </w:pPr>
      <w:r w:rsidRPr="000821CD">
        <w:rPr>
          <w:rFonts w:asciiTheme="minorHAnsi" w:eastAsia="MS Mincho" w:hAnsiTheme="minorHAnsi" w:cstheme="minorHAnsi"/>
          <w:i/>
          <w:iCs/>
          <w:sz w:val="20"/>
          <w:szCs w:val="20"/>
        </w:rPr>
        <w:t>Monitor developments in training academies in other jurisdictions that are advancing these issues through novel training protocols</w:t>
      </w:r>
      <w:r w:rsidRPr="000821CD">
        <w:rPr>
          <w:rFonts w:asciiTheme="minorHAnsi" w:hAnsiTheme="minorHAnsi" w:cstheme="minorHAnsi"/>
          <w:sz w:val="20"/>
          <w:szCs w:val="20"/>
          <w:vertAlign w:val="superscript"/>
        </w:rPr>
        <w:footnoteReference w:id="20"/>
      </w:r>
      <w:r w:rsidRPr="000821CD">
        <w:rPr>
          <w:rFonts w:asciiTheme="minorHAnsi" w:eastAsia="MS Mincho" w:hAnsiTheme="minorHAnsi" w:cstheme="minorHAnsi"/>
          <w:sz w:val="20"/>
          <w:szCs w:val="20"/>
        </w:rPr>
        <w:t xml:space="preserve">. Several other jurisdictions are grappling with these same </w:t>
      </w:r>
      <w:r w:rsidRPr="000821CD">
        <w:rPr>
          <w:rFonts w:asciiTheme="minorHAnsi" w:eastAsia="MS Mincho" w:hAnsiTheme="minorHAnsi" w:cstheme="minorHAnsi"/>
          <w:sz w:val="20"/>
          <w:szCs w:val="20"/>
        </w:rPr>
        <w:lastRenderedPageBreak/>
        <w:t>issues, and many novel attempts at addressing the problems are underway. Some jurisdictions within the region are likely candidates for monitoring.</w:t>
      </w:r>
    </w:p>
    <w:p w14:paraId="30EB6FD3" w14:textId="77777777" w:rsidR="000821CD" w:rsidRPr="000821CD" w:rsidRDefault="000821CD" w:rsidP="000821CD">
      <w:pPr>
        <w:pStyle w:val="ListParagraph"/>
        <w:numPr>
          <w:ilvl w:val="0"/>
          <w:numId w:val="16"/>
        </w:numPr>
        <w:spacing w:line="240" w:lineRule="auto"/>
        <w:rPr>
          <w:rFonts w:asciiTheme="minorHAnsi" w:eastAsia="MS Mincho" w:hAnsiTheme="minorHAnsi" w:cstheme="minorHAnsi"/>
          <w:sz w:val="20"/>
          <w:szCs w:val="20"/>
        </w:rPr>
      </w:pPr>
      <w:r w:rsidRPr="000821CD">
        <w:rPr>
          <w:rFonts w:asciiTheme="minorHAnsi" w:eastAsia="MS Mincho" w:hAnsiTheme="minorHAnsi" w:cstheme="minorHAnsi"/>
          <w:i/>
          <w:iCs/>
          <w:sz w:val="20"/>
          <w:szCs w:val="20"/>
        </w:rPr>
        <w:t>Compare implementation of similar curriculum across other jurisdictions to determine best approach to content delivery and format</w:t>
      </w:r>
      <w:r w:rsidRPr="000821CD">
        <w:rPr>
          <w:rFonts w:asciiTheme="minorHAnsi" w:hAnsiTheme="minorHAnsi" w:cstheme="minorHAnsi"/>
          <w:sz w:val="20"/>
          <w:szCs w:val="20"/>
          <w:vertAlign w:val="superscript"/>
        </w:rPr>
        <w:footnoteReference w:id="21"/>
      </w:r>
      <w:r w:rsidRPr="000821CD">
        <w:rPr>
          <w:rFonts w:asciiTheme="minorHAnsi" w:eastAsia="MS Mincho" w:hAnsiTheme="minorHAnsi" w:cstheme="minorHAnsi"/>
          <w:sz w:val="20"/>
          <w:szCs w:val="20"/>
        </w:rPr>
        <w:t>. Shifts in training protocols (e.g., moving to an active learning model) may be insufficient without changes to the underlying curriculum. These changes may require changes to CT-POST policy.</w:t>
      </w:r>
    </w:p>
    <w:p w14:paraId="532DD070" w14:textId="77777777" w:rsidR="000821CD" w:rsidRPr="00C457E9" w:rsidRDefault="000821CD" w:rsidP="000821CD">
      <w:pPr>
        <w:spacing w:line="240" w:lineRule="auto"/>
        <w:rPr>
          <w:rFonts w:asciiTheme="minorHAnsi" w:eastAsia="MS Mincho" w:hAnsiTheme="minorHAnsi" w:cstheme="minorHAnsi"/>
          <w:sz w:val="10"/>
          <w:szCs w:val="10"/>
        </w:rPr>
      </w:pPr>
    </w:p>
    <w:p w14:paraId="37935272" w14:textId="77777777" w:rsidR="000821CD" w:rsidRPr="000821CD" w:rsidRDefault="000821CD" w:rsidP="000821CD">
      <w:pPr>
        <w:spacing w:line="240" w:lineRule="auto"/>
        <w:rPr>
          <w:rFonts w:asciiTheme="minorHAnsi" w:eastAsia="MS Mincho" w:hAnsiTheme="minorHAnsi" w:cstheme="minorHAnsi"/>
          <w:sz w:val="20"/>
          <w:szCs w:val="20"/>
          <w:u w:val="single"/>
        </w:rPr>
      </w:pPr>
      <w:r w:rsidRPr="000821CD">
        <w:rPr>
          <w:rFonts w:asciiTheme="minorHAnsi" w:eastAsia="MS Mincho" w:hAnsiTheme="minorHAnsi" w:cstheme="minorHAnsi"/>
          <w:sz w:val="20"/>
          <w:szCs w:val="20"/>
          <w:u w:val="single"/>
        </w:rPr>
        <w:t>Promotion</w:t>
      </w:r>
    </w:p>
    <w:p w14:paraId="29CEA8EC" w14:textId="77777777" w:rsidR="000821CD" w:rsidRPr="000821CD" w:rsidRDefault="000821CD" w:rsidP="000821CD">
      <w:pPr>
        <w:pStyle w:val="ListParagraph"/>
        <w:numPr>
          <w:ilvl w:val="0"/>
          <w:numId w:val="17"/>
        </w:numPr>
        <w:spacing w:line="240" w:lineRule="auto"/>
        <w:rPr>
          <w:rFonts w:asciiTheme="minorHAnsi" w:eastAsia="MS Mincho" w:hAnsiTheme="minorHAnsi" w:cstheme="minorHAnsi"/>
          <w:sz w:val="20"/>
          <w:szCs w:val="20"/>
        </w:rPr>
      </w:pPr>
      <w:r w:rsidRPr="000821CD">
        <w:rPr>
          <w:rFonts w:asciiTheme="minorHAnsi" w:eastAsia="MS Mincho" w:hAnsiTheme="minorHAnsi" w:cstheme="minorHAnsi"/>
          <w:i/>
          <w:iCs/>
          <w:sz w:val="20"/>
          <w:szCs w:val="20"/>
        </w:rPr>
        <w:t xml:space="preserve">Regularly evaluate promotional tests for disparity. </w:t>
      </w:r>
      <w:r w:rsidRPr="000821CD">
        <w:rPr>
          <w:rFonts w:asciiTheme="minorHAnsi" w:eastAsia="MS Mincho" w:hAnsiTheme="minorHAnsi" w:cstheme="minorHAnsi"/>
          <w:sz w:val="20"/>
          <w:szCs w:val="20"/>
        </w:rPr>
        <w:t>Organizational diversification requires increasing diversity at the executive and managerial levels as well as among staff overall.</w:t>
      </w:r>
    </w:p>
    <w:p w14:paraId="7833207A" w14:textId="727D4AAA" w:rsidR="000821CD" w:rsidRDefault="000821CD" w:rsidP="000821CD">
      <w:pPr>
        <w:pStyle w:val="ListParagraph"/>
        <w:numPr>
          <w:ilvl w:val="0"/>
          <w:numId w:val="17"/>
        </w:numPr>
        <w:spacing w:line="240" w:lineRule="auto"/>
        <w:rPr>
          <w:rFonts w:asciiTheme="minorHAnsi" w:eastAsia="MS Mincho" w:hAnsiTheme="minorHAnsi" w:cstheme="minorHAnsi"/>
          <w:sz w:val="20"/>
          <w:szCs w:val="20"/>
        </w:rPr>
      </w:pPr>
      <w:r w:rsidRPr="000821CD">
        <w:rPr>
          <w:rFonts w:asciiTheme="minorHAnsi" w:eastAsia="MS Mincho" w:hAnsiTheme="minorHAnsi" w:cstheme="minorHAnsi"/>
          <w:i/>
          <w:iCs/>
          <w:sz w:val="20"/>
          <w:szCs w:val="20"/>
        </w:rPr>
        <w:t>Consider involving outside participants like civilian review boards in the promotional process.</w:t>
      </w:r>
      <w:r w:rsidRPr="000821CD">
        <w:rPr>
          <w:rFonts w:asciiTheme="minorHAnsi" w:eastAsia="MS Mincho" w:hAnsiTheme="minorHAnsi" w:cstheme="minorHAnsi"/>
          <w:sz w:val="20"/>
          <w:szCs w:val="20"/>
        </w:rPr>
        <w:t xml:space="preserve"> Increasing diversity in the promotional process may support increased diversity in the promotions that result. Implementing changes like this are complex and may involve issues like union contracts which may specify promotional rules.</w:t>
      </w:r>
    </w:p>
    <w:p w14:paraId="5C71D1BE" w14:textId="77777777" w:rsidR="000821CD" w:rsidRPr="00C457E9" w:rsidRDefault="000821CD" w:rsidP="000821CD">
      <w:pPr>
        <w:spacing w:line="240" w:lineRule="auto"/>
        <w:rPr>
          <w:rFonts w:asciiTheme="minorHAnsi" w:eastAsia="MS Mincho" w:hAnsiTheme="minorHAnsi" w:cstheme="minorHAnsi"/>
          <w:b/>
          <w:bCs/>
          <w:sz w:val="10"/>
          <w:szCs w:val="10"/>
        </w:rPr>
      </w:pPr>
    </w:p>
    <w:p w14:paraId="158855BF" w14:textId="69AB0549" w:rsidR="000821CD" w:rsidRPr="00340E6E" w:rsidRDefault="000821CD" w:rsidP="000821CD">
      <w:pPr>
        <w:spacing w:line="240" w:lineRule="auto"/>
        <w:rPr>
          <w:rFonts w:asciiTheme="minorHAnsi" w:eastAsia="MS Mincho" w:hAnsiTheme="minorHAnsi" w:cstheme="minorHAnsi"/>
          <w:b/>
          <w:bCs/>
          <w:color w:val="7030A0"/>
          <w:sz w:val="20"/>
          <w:szCs w:val="20"/>
        </w:rPr>
      </w:pPr>
      <w:r w:rsidRPr="00BF09C4">
        <w:rPr>
          <w:rFonts w:asciiTheme="minorHAnsi" w:eastAsia="MS Mincho" w:hAnsiTheme="minorHAnsi" w:cstheme="minorHAnsi"/>
          <w:b/>
          <w:bCs/>
          <w:color w:val="FF0000"/>
          <w:sz w:val="20"/>
          <w:szCs w:val="20"/>
        </w:rPr>
        <w:t xml:space="preserve">Recommendation </w:t>
      </w:r>
      <w:r w:rsidR="0036397F" w:rsidRPr="00BF09C4">
        <w:rPr>
          <w:rFonts w:asciiTheme="minorHAnsi" w:eastAsia="MS Mincho" w:hAnsiTheme="minorHAnsi" w:cstheme="minorHAnsi"/>
          <w:b/>
          <w:bCs/>
          <w:color w:val="FF0000"/>
          <w:sz w:val="20"/>
          <w:szCs w:val="20"/>
        </w:rPr>
        <w:t>3</w:t>
      </w:r>
      <w:r w:rsidRPr="00BF09C4">
        <w:rPr>
          <w:rFonts w:asciiTheme="minorHAnsi" w:eastAsia="MS Mincho" w:hAnsiTheme="minorHAnsi" w:cstheme="minorHAnsi"/>
          <w:b/>
          <w:bCs/>
          <w:color w:val="FF0000"/>
          <w:sz w:val="20"/>
          <w:szCs w:val="20"/>
        </w:rPr>
        <w:t xml:space="preserve">: </w:t>
      </w:r>
      <w:r w:rsidR="00CE16A6" w:rsidRPr="00340E6E">
        <w:rPr>
          <w:rFonts w:asciiTheme="minorHAnsi" w:eastAsia="MS Mincho" w:hAnsiTheme="minorHAnsi" w:cstheme="minorHAnsi"/>
          <w:b/>
          <w:bCs/>
          <w:color w:val="7030A0"/>
          <w:sz w:val="20"/>
          <w:szCs w:val="20"/>
        </w:rPr>
        <w:t xml:space="preserve">Establish a </w:t>
      </w:r>
      <w:r w:rsidR="00FF1135" w:rsidRPr="00340E6E">
        <w:rPr>
          <w:rFonts w:asciiTheme="minorHAnsi" w:eastAsia="MS Mincho" w:hAnsiTheme="minorHAnsi" w:cstheme="minorHAnsi"/>
          <w:b/>
          <w:bCs/>
          <w:color w:val="7030A0"/>
          <w:sz w:val="20"/>
          <w:szCs w:val="20"/>
        </w:rPr>
        <w:t>unit within</w:t>
      </w:r>
      <w:r w:rsidR="00CE16A6" w:rsidRPr="00340E6E">
        <w:rPr>
          <w:rFonts w:asciiTheme="minorHAnsi" w:eastAsia="MS Mincho" w:hAnsiTheme="minorHAnsi" w:cstheme="minorHAnsi"/>
          <w:b/>
          <w:bCs/>
          <w:color w:val="7030A0"/>
          <w:sz w:val="20"/>
          <w:szCs w:val="20"/>
        </w:rPr>
        <w:t xml:space="preserve"> POST</w:t>
      </w:r>
      <w:r w:rsidR="00FF1135" w:rsidRPr="00340E6E">
        <w:rPr>
          <w:rFonts w:asciiTheme="minorHAnsi" w:eastAsia="MS Mincho" w:hAnsiTheme="minorHAnsi" w:cstheme="minorHAnsi"/>
          <w:b/>
          <w:bCs/>
          <w:color w:val="7030A0"/>
          <w:sz w:val="20"/>
          <w:szCs w:val="20"/>
        </w:rPr>
        <w:t xml:space="preserve"> </w:t>
      </w:r>
      <w:r w:rsidR="00340E6E" w:rsidRPr="00340E6E">
        <w:rPr>
          <w:rFonts w:asciiTheme="minorHAnsi" w:eastAsia="MS Mincho" w:hAnsiTheme="minorHAnsi" w:cstheme="minorHAnsi"/>
          <w:b/>
          <w:bCs/>
          <w:color w:val="7030A0"/>
          <w:sz w:val="20"/>
          <w:szCs w:val="20"/>
        </w:rPr>
        <w:t xml:space="preserve">compliance </w:t>
      </w:r>
      <w:r w:rsidR="00FF1135" w:rsidRPr="00340E6E">
        <w:rPr>
          <w:rFonts w:asciiTheme="minorHAnsi" w:eastAsia="MS Mincho" w:hAnsiTheme="minorHAnsi" w:cstheme="minorHAnsi"/>
          <w:b/>
          <w:bCs/>
          <w:color w:val="7030A0"/>
          <w:sz w:val="20"/>
          <w:szCs w:val="20"/>
        </w:rPr>
        <w:t xml:space="preserve">that </w:t>
      </w:r>
      <w:r w:rsidR="00340E6E" w:rsidRPr="00340E6E">
        <w:rPr>
          <w:rFonts w:asciiTheme="minorHAnsi" w:eastAsia="MS Mincho" w:hAnsiTheme="minorHAnsi" w:cstheme="minorHAnsi"/>
          <w:b/>
          <w:bCs/>
          <w:color w:val="7030A0"/>
          <w:sz w:val="20"/>
          <w:szCs w:val="20"/>
        </w:rPr>
        <w:t>focuses on</w:t>
      </w:r>
      <w:r w:rsidR="00FF1135" w:rsidRPr="00340E6E">
        <w:rPr>
          <w:rFonts w:asciiTheme="minorHAnsi" w:eastAsia="MS Mincho" w:hAnsiTheme="minorHAnsi" w:cstheme="minorHAnsi"/>
          <w:b/>
          <w:bCs/>
          <w:color w:val="7030A0"/>
          <w:sz w:val="20"/>
          <w:szCs w:val="20"/>
        </w:rPr>
        <w:t xml:space="preserve"> diversify, equity, and inclusion program</w:t>
      </w:r>
      <w:r w:rsidR="0073731E">
        <w:rPr>
          <w:rFonts w:asciiTheme="minorHAnsi" w:eastAsia="MS Mincho" w:hAnsiTheme="minorHAnsi" w:cstheme="minorHAnsi"/>
          <w:b/>
          <w:bCs/>
          <w:color w:val="7030A0"/>
          <w:sz w:val="20"/>
          <w:szCs w:val="20"/>
        </w:rPr>
        <w:t>s</w:t>
      </w:r>
    </w:p>
    <w:p w14:paraId="0568F6A9" w14:textId="44291628" w:rsidR="00C457E9" w:rsidRPr="00C82646" w:rsidRDefault="000821CD" w:rsidP="000821CD">
      <w:pPr>
        <w:spacing w:line="240" w:lineRule="auto"/>
        <w:rPr>
          <w:rFonts w:asciiTheme="minorHAnsi" w:eastAsia="MS Mincho" w:hAnsiTheme="minorHAnsi" w:cstheme="minorHAnsi"/>
          <w:color w:val="7030A0"/>
          <w:sz w:val="20"/>
          <w:szCs w:val="20"/>
        </w:rPr>
      </w:pPr>
      <w:r w:rsidRPr="00BF09C4">
        <w:rPr>
          <w:rFonts w:asciiTheme="minorHAnsi" w:eastAsia="MS Mincho" w:hAnsiTheme="minorHAnsi" w:cstheme="minorHAnsi"/>
          <w:color w:val="FF0000"/>
          <w:sz w:val="20"/>
          <w:szCs w:val="20"/>
        </w:rPr>
        <w:t>It is recommended that the state</w:t>
      </w:r>
      <w:r w:rsidRPr="00340E6E">
        <w:rPr>
          <w:rFonts w:asciiTheme="minorHAnsi" w:eastAsia="MS Mincho" w:hAnsiTheme="minorHAnsi" w:cstheme="minorHAnsi"/>
          <w:color w:val="7030A0"/>
          <w:sz w:val="20"/>
          <w:szCs w:val="20"/>
        </w:rPr>
        <w:t xml:space="preserve"> </w:t>
      </w:r>
      <w:r w:rsidR="00340E6E">
        <w:rPr>
          <w:rFonts w:asciiTheme="minorHAnsi" w:eastAsia="MS Mincho" w:hAnsiTheme="minorHAnsi" w:cstheme="minorHAnsi"/>
          <w:color w:val="7030A0"/>
          <w:sz w:val="20"/>
          <w:szCs w:val="20"/>
        </w:rPr>
        <w:t>establish a specialized unit with POST’s</w:t>
      </w:r>
      <w:r w:rsidR="00ED798B" w:rsidRPr="00340E6E">
        <w:rPr>
          <w:rFonts w:asciiTheme="minorHAnsi" w:eastAsia="MS Mincho" w:hAnsiTheme="minorHAnsi" w:cstheme="minorHAnsi"/>
          <w:color w:val="7030A0"/>
          <w:sz w:val="20"/>
          <w:szCs w:val="20"/>
        </w:rPr>
        <w:t xml:space="preserve"> </w:t>
      </w:r>
      <w:r w:rsidR="00FF1135" w:rsidRPr="00340E6E">
        <w:rPr>
          <w:rFonts w:asciiTheme="minorHAnsi" w:eastAsia="MS Mincho" w:hAnsiTheme="minorHAnsi" w:cstheme="minorHAnsi"/>
          <w:color w:val="7030A0"/>
          <w:sz w:val="20"/>
          <w:szCs w:val="20"/>
        </w:rPr>
        <w:t>compliance unit to address d</w:t>
      </w:r>
      <w:r w:rsidR="00ED798B" w:rsidRPr="00340E6E">
        <w:rPr>
          <w:rFonts w:asciiTheme="minorHAnsi" w:eastAsia="MS Mincho" w:hAnsiTheme="minorHAnsi" w:cstheme="minorHAnsi"/>
          <w:color w:val="7030A0"/>
          <w:sz w:val="20"/>
          <w:szCs w:val="20"/>
        </w:rPr>
        <w:t>iversity, equity, and inclusion</w:t>
      </w:r>
      <w:r w:rsidR="00340E6E" w:rsidRPr="00340E6E">
        <w:rPr>
          <w:rFonts w:asciiTheme="minorHAnsi" w:eastAsia="MS Mincho" w:hAnsiTheme="minorHAnsi" w:cstheme="minorHAnsi"/>
          <w:color w:val="7030A0"/>
          <w:sz w:val="20"/>
          <w:szCs w:val="20"/>
        </w:rPr>
        <w:t xml:space="preserve"> and to implement a </w:t>
      </w:r>
      <w:r w:rsidR="00340E6E">
        <w:rPr>
          <w:rFonts w:asciiTheme="minorHAnsi" w:eastAsia="MS Mincho" w:hAnsiTheme="minorHAnsi" w:cstheme="minorHAnsi"/>
          <w:color w:val="7030A0"/>
          <w:sz w:val="20"/>
          <w:szCs w:val="20"/>
        </w:rPr>
        <w:t xml:space="preserve">statewide law enforcement </w:t>
      </w:r>
      <w:r w:rsidR="00340E6E" w:rsidRPr="00340E6E">
        <w:rPr>
          <w:rFonts w:asciiTheme="minorHAnsi" w:eastAsia="MS Mincho" w:hAnsiTheme="minorHAnsi" w:cstheme="minorHAnsi"/>
          <w:color w:val="7030A0"/>
          <w:sz w:val="20"/>
          <w:szCs w:val="20"/>
        </w:rPr>
        <w:t>DEI</w:t>
      </w:r>
      <w:r w:rsidR="00ED798B" w:rsidRPr="00340E6E">
        <w:rPr>
          <w:rFonts w:asciiTheme="minorHAnsi" w:eastAsia="MS Mincho" w:hAnsiTheme="minorHAnsi" w:cstheme="minorHAnsi"/>
          <w:color w:val="7030A0"/>
          <w:sz w:val="20"/>
          <w:szCs w:val="20"/>
        </w:rPr>
        <w:t xml:space="preserve"> program </w:t>
      </w:r>
      <w:r w:rsidRPr="00340E6E">
        <w:rPr>
          <w:rFonts w:asciiTheme="minorHAnsi" w:eastAsia="MS Mincho" w:hAnsiTheme="minorHAnsi" w:cstheme="minorHAnsi"/>
          <w:color w:val="7030A0"/>
          <w:sz w:val="20"/>
          <w:szCs w:val="20"/>
        </w:rPr>
        <w:t xml:space="preserve">to </w:t>
      </w:r>
      <w:r w:rsidR="002B2A9B" w:rsidRPr="00340E6E">
        <w:rPr>
          <w:rFonts w:asciiTheme="minorHAnsi" w:eastAsia="MS Mincho" w:hAnsiTheme="minorHAnsi" w:cstheme="minorHAnsi"/>
          <w:color w:val="7030A0"/>
          <w:sz w:val="20"/>
          <w:szCs w:val="20"/>
        </w:rPr>
        <w:t>manage</w:t>
      </w:r>
      <w:r w:rsidR="00ED798B" w:rsidRPr="00340E6E">
        <w:rPr>
          <w:rFonts w:asciiTheme="minorHAnsi" w:eastAsia="MS Mincho" w:hAnsiTheme="minorHAnsi" w:cstheme="minorHAnsi"/>
          <w:color w:val="7030A0"/>
          <w:sz w:val="20"/>
          <w:szCs w:val="20"/>
        </w:rPr>
        <w:t xml:space="preserve"> progress toward diversification and assist departments where progress is limited. </w:t>
      </w:r>
      <w:r w:rsidR="00ED798B" w:rsidRPr="00BF09C4">
        <w:rPr>
          <w:rFonts w:asciiTheme="minorHAnsi" w:eastAsia="MS Mincho" w:hAnsiTheme="minorHAnsi" w:cstheme="minorHAnsi"/>
          <w:color w:val="FF0000"/>
          <w:sz w:val="20"/>
          <w:szCs w:val="20"/>
        </w:rPr>
        <w:t>This program should engage</w:t>
      </w:r>
      <w:r w:rsidRPr="00BF09C4">
        <w:rPr>
          <w:rFonts w:asciiTheme="minorHAnsi" w:eastAsia="MS Mincho" w:hAnsiTheme="minorHAnsi" w:cstheme="minorHAnsi"/>
          <w:color w:val="FF0000"/>
          <w:sz w:val="20"/>
          <w:szCs w:val="20"/>
        </w:rPr>
        <w:t xml:space="preserve"> in data collection and study </w:t>
      </w:r>
      <w:r w:rsidR="00ED798B" w:rsidRPr="00BF09C4">
        <w:rPr>
          <w:rFonts w:asciiTheme="minorHAnsi" w:eastAsia="MS Mincho" w:hAnsiTheme="minorHAnsi" w:cstheme="minorHAnsi"/>
          <w:color w:val="FF0000"/>
          <w:sz w:val="20"/>
          <w:szCs w:val="20"/>
        </w:rPr>
        <w:t xml:space="preserve">to determine </w:t>
      </w:r>
      <w:r w:rsidRPr="00BF09C4">
        <w:rPr>
          <w:rFonts w:asciiTheme="minorHAnsi" w:eastAsia="MS Mincho" w:hAnsiTheme="minorHAnsi" w:cstheme="minorHAnsi"/>
          <w:color w:val="FF0000"/>
          <w:sz w:val="20"/>
          <w:szCs w:val="20"/>
        </w:rPr>
        <w:t xml:space="preserve">which </w:t>
      </w:r>
      <w:r w:rsidR="00CC78A4" w:rsidRPr="00BF09C4">
        <w:rPr>
          <w:rFonts w:asciiTheme="minorHAnsi" w:eastAsia="MS Mincho" w:hAnsiTheme="minorHAnsi" w:cstheme="minorHAnsi"/>
          <w:color w:val="FF0000"/>
          <w:sz w:val="20"/>
          <w:szCs w:val="20"/>
        </w:rPr>
        <w:t xml:space="preserve">evidence-based </w:t>
      </w:r>
      <w:r w:rsidRPr="00BF09C4">
        <w:rPr>
          <w:rFonts w:asciiTheme="minorHAnsi" w:eastAsia="MS Mincho" w:hAnsiTheme="minorHAnsi" w:cstheme="minorHAnsi"/>
          <w:color w:val="FF0000"/>
          <w:sz w:val="20"/>
          <w:szCs w:val="20"/>
        </w:rPr>
        <w:t xml:space="preserve">strategies </w:t>
      </w:r>
      <w:r w:rsidR="00CC78A4" w:rsidRPr="00BF09C4">
        <w:rPr>
          <w:rFonts w:asciiTheme="minorHAnsi" w:eastAsia="MS Mincho" w:hAnsiTheme="minorHAnsi" w:cstheme="minorHAnsi"/>
          <w:color w:val="FF0000"/>
          <w:sz w:val="20"/>
          <w:szCs w:val="20"/>
        </w:rPr>
        <w:t xml:space="preserve">utilized </w:t>
      </w:r>
      <w:r w:rsidRPr="00BF09C4">
        <w:rPr>
          <w:rFonts w:asciiTheme="minorHAnsi" w:eastAsia="MS Mincho" w:hAnsiTheme="minorHAnsi" w:cstheme="minorHAnsi"/>
          <w:color w:val="FF0000"/>
          <w:sz w:val="20"/>
          <w:szCs w:val="20"/>
        </w:rPr>
        <w:t>within the state demonstrate effectiveness related to hiring, training, promotion, and issues like early career attrition and limited interest in promotion among female and minority officers that impact diversity.</w:t>
      </w:r>
      <w:r w:rsidR="00952552" w:rsidRPr="00BF09C4">
        <w:rPr>
          <w:rFonts w:asciiTheme="minorHAnsi" w:eastAsia="MS Mincho" w:hAnsiTheme="minorHAnsi" w:cstheme="minorHAnsi"/>
          <w:color w:val="FF0000"/>
          <w:sz w:val="20"/>
          <w:szCs w:val="20"/>
        </w:rPr>
        <w:t xml:space="preserve"> </w:t>
      </w:r>
      <w:r w:rsidR="00742AC3" w:rsidRPr="00BF09C4">
        <w:rPr>
          <w:rFonts w:asciiTheme="minorHAnsi" w:eastAsia="MS Mincho" w:hAnsiTheme="minorHAnsi" w:cstheme="minorHAnsi"/>
          <w:color w:val="FF0000"/>
          <w:sz w:val="20"/>
          <w:szCs w:val="20"/>
        </w:rPr>
        <w:t xml:space="preserve">In addition, the program </w:t>
      </w:r>
      <w:r w:rsidR="00952552" w:rsidRPr="00BF09C4">
        <w:rPr>
          <w:rFonts w:asciiTheme="minorHAnsi" w:eastAsia="MS Mincho" w:hAnsiTheme="minorHAnsi" w:cstheme="minorHAnsi"/>
          <w:color w:val="FF0000"/>
          <w:sz w:val="20"/>
          <w:szCs w:val="20"/>
        </w:rPr>
        <w:t xml:space="preserve">should work with the agencies to develop </w:t>
      </w:r>
      <w:r w:rsidR="00742AC3" w:rsidRPr="00BF09C4">
        <w:rPr>
          <w:rFonts w:asciiTheme="minorHAnsi" w:eastAsia="MS Mincho" w:hAnsiTheme="minorHAnsi" w:cstheme="minorHAnsi"/>
          <w:color w:val="FF0000"/>
          <w:sz w:val="20"/>
          <w:szCs w:val="20"/>
        </w:rPr>
        <w:t xml:space="preserve">specific </w:t>
      </w:r>
      <w:r w:rsidR="00952552" w:rsidRPr="00BF09C4">
        <w:rPr>
          <w:rFonts w:asciiTheme="minorHAnsi" w:eastAsia="MS Mincho" w:hAnsiTheme="minorHAnsi" w:cstheme="minorHAnsi"/>
          <w:color w:val="FF0000"/>
          <w:sz w:val="20"/>
          <w:szCs w:val="20"/>
        </w:rPr>
        <w:t>plans</w:t>
      </w:r>
      <w:r w:rsidR="00742AC3" w:rsidRPr="00BF09C4">
        <w:rPr>
          <w:rFonts w:asciiTheme="minorHAnsi" w:eastAsia="MS Mincho" w:hAnsiTheme="minorHAnsi" w:cstheme="minorHAnsi"/>
          <w:color w:val="FF0000"/>
          <w:sz w:val="20"/>
          <w:szCs w:val="20"/>
        </w:rPr>
        <w:t xml:space="preserve"> of action using best practices to support the diversity directives established through the accreditation process</w:t>
      </w:r>
      <w:r w:rsidR="00952552" w:rsidRPr="00BF09C4">
        <w:rPr>
          <w:rFonts w:asciiTheme="minorHAnsi" w:eastAsia="MS Mincho" w:hAnsiTheme="minorHAnsi" w:cstheme="minorHAnsi"/>
          <w:color w:val="FF0000"/>
          <w:sz w:val="20"/>
          <w:szCs w:val="20"/>
        </w:rPr>
        <w:t xml:space="preserve">. </w:t>
      </w:r>
      <w:r w:rsidR="00C82646">
        <w:rPr>
          <w:rFonts w:asciiTheme="minorHAnsi" w:eastAsia="MS Mincho" w:hAnsiTheme="minorHAnsi" w:cstheme="minorHAnsi"/>
          <w:color w:val="7030A0"/>
          <w:sz w:val="20"/>
          <w:szCs w:val="20"/>
        </w:rPr>
        <w:t xml:space="preserve">Finally, the program should assume the responsibility of addressing other more complex diversity issues such as the impact of disabilities on </w:t>
      </w:r>
      <w:r w:rsidR="00C82646">
        <w:rPr>
          <w:rFonts w:asciiTheme="minorHAnsi" w:eastAsia="MS Mincho" w:hAnsiTheme="minorHAnsi" w:cstheme="minorHAnsi"/>
          <w:color w:val="7030A0"/>
          <w:sz w:val="20"/>
          <w:szCs w:val="20"/>
        </w:rPr>
        <w:t>employment within law enforcement agencies.</w:t>
      </w:r>
      <w:r w:rsidR="0073731E">
        <w:rPr>
          <w:rFonts w:asciiTheme="minorHAnsi" w:eastAsia="MS Mincho" w:hAnsiTheme="minorHAnsi" w:cstheme="minorHAnsi"/>
          <w:color w:val="7030A0"/>
          <w:sz w:val="20"/>
          <w:szCs w:val="20"/>
        </w:rPr>
        <w:t xml:space="preserve"> In addition to implementing this DEI unit within POST’s compliance unit, the state should likewise add additional personnel to the compliance unit to enhance its overall role in managing accreditation more generally.</w:t>
      </w:r>
    </w:p>
    <w:p w14:paraId="627101A0" w14:textId="77777777" w:rsidR="00C457E9" w:rsidRPr="00BF09C4" w:rsidRDefault="00C457E9" w:rsidP="000821CD">
      <w:pPr>
        <w:spacing w:line="240" w:lineRule="auto"/>
        <w:rPr>
          <w:rFonts w:asciiTheme="minorHAnsi" w:eastAsia="MS Mincho" w:hAnsiTheme="minorHAnsi" w:cstheme="minorHAnsi"/>
          <w:color w:val="FF0000"/>
          <w:sz w:val="10"/>
          <w:szCs w:val="10"/>
        </w:rPr>
      </w:pPr>
    </w:p>
    <w:p w14:paraId="37D804DF" w14:textId="26CB5B0E" w:rsidR="000821CD" w:rsidRPr="00BF09C4" w:rsidRDefault="000821CD" w:rsidP="000821CD">
      <w:pPr>
        <w:spacing w:line="240" w:lineRule="auto"/>
        <w:rPr>
          <w:rFonts w:asciiTheme="minorHAnsi" w:eastAsia="MS Mincho" w:hAnsiTheme="minorHAnsi" w:cstheme="minorHAnsi"/>
          <w:b/>
          <w:bCs/>
          <w:color w:val="FF0000"/>
          <w:sz w:val="20"/>
          <w:szCs w:val="20"/>
        </w:rPr>
      </w:pPr>
      <w:r w:rsidRPr="00BF09C4">
        <w:rPr>
          <w:rFonts w:asciiTheme="minorHAnsi" w:eastAsia="MS Mincho" w:hAnsiTheme="minorHAnsi" w:cstheme="minorHAnsi"/>
          <w:b/>
          <w:bCs/>
          <w:color w:val="FF0000"/>
          <w:sz w:val="20"/>
          <w:szCs w:val="20"/>
        </w:rPr>
        <w:t>Rationale</w:t>
      </w:r>
    </w:p>
    <w:p w14:paraId="19037D1B" w14:textId="2CCF744C" w:rsidR="00742AC3" w:rsidRPr="00BF09C4" w:rsidRDefault="00742AC3" w:rsidP="00742AC3">
      <w:pPr>
        <w:spacing w:line="240" w:lineRule="auto"/>
        <w:rPr>
          <w:rFonts w:asciiTheme="minorHAnsi" w:eastAsia="MS Mincho" w:hAnsiTheme="minorHAnsi" w:cstheme="minorHAnsi"/>
          <w:color w:val="FF0000"/>
          <w:sz w:val="20"/>
          <w:szCs w:val="20"/>
        </w:rPr>
      </w:pPr>
      <w:r w:rsidRPr="00BF09C4">
        <w:rPr>
          <w:rFonts w:asciiTheme="minorHAnsi" w:eastAsia="MS Mincho" w:hAnsiTheme="minorHAnsi" w:cstheme="minorHAnsi"/>
          <w:color w:val="FF0000"/>
          <w:sz w:val="20"/>
          <w:szCs w:val="20"/>
        </w:rPr>
        <w:t>While requiring organizations to establish diversification directives through the accreditation process creates a framework for diversification</w:t>
      </w:r>
      <w:r w:rsidR="00CC78A4" w:rsidRPr="00BF09C4">
        <w:rPr>
          <w:rFonts w:asciiTheme="minorHAnsi" w:eastAsia="MS Mincho" w:hAnsiTheme="minorHAnsi" w:cstheme="minorHAnsi"/>
          <w:color w:val="FF0000"/>
          <w:sz w:val="20"/>
          <w:szCs w:val="20"/>
        </w:rPr>
        <w:t xml:space="preserve"> and state-wide dissemination of evidence-based practices related to law enforcement diversification provides some guidance,</w:t>
      </w:r>
      <w:r w:rsidRPr="00BF09C4">
        <w:rPr>
          <w:rFonts w:asciiTheme="minorHAnsi" w:eastAsia="MS Mincho" w:hAnsiTheme="minorHAnsi" w:cstheme="minorHAnsi"/>
          <w:color w:val="FF0000"/>
          <w:sz w:val="20"/>
          <w:szCs w:val="20"/>
        </w:rPr>
        <w:t xml:space="preserve"> individual agencies will require assistance in developing plans to address </w:t>
      </w:r>
      <w:r w:rsidR="00CC78A4" w:rsidRPr="00BF09C4">
        <w:rPr>
          <w:rFonts w:asciiTheme="minorHAnsi" w:eastAsia="MS Mincho" w:hAnsiTheme="minorHAnsi" w:cstheme="minorHAnsi"/>
          <w:color w:val="FF0000"/>
          <w:sz w:val="20"/>
          <w:szCs w:val="20"/>
        </w:rPr>
        <w:t>diversity</w:t>
      </w:r>
      <w:r w:rsidRPr="00BF09C4">
        <w:rPr>
          <w:rFonts w:asciiTheme="minorHAnsi" w:eastAsia="MS Mincho" w:hAnsiTheme="minorHAnsi" w:cstheme="minorHAnsi"/>
          <w:color w:val="FF0000"/>
          <w:sz w:val="20"/>
          <w:szCs w:val="20"/>
        </w:rPr>
        <w:t xml:space="preserve"> directives</w:t>
      </w:r>
      <w:r w:rsidR="00CC78A4" w:rsidRPr="00BF09C4">
        <w:rPr>
          <w:rFonts w:asciiTheme="minorHAnsi" w:eastAsia="MS Mincho" w:hAnsiTheme="minorHAnsi" w:cstheme="minorHAnsi"/>
          <w:color w:val="FF0000"/>
          <w:sz w:val="20"/>
          <w:szCs w:val="20"/>
        </w:rPr>
        <w:t xml:space="preserve"> and achieve diversification goals</w:t>
      </w:r>
      <w:r w:rsidRPr="00BF09C4">
        <w:rPr>
          <w:rFonts w:asciiTheme="minorHAnsi" w:eastAsia="MS Mincho" w:hAnsiTheme="minorHAnsi" w:cstheme="minorHAnsi"/>
          <w:color w:val="FF0000"/>
          <w:sz w:val="20"/>
          <w:szCs w:val="20"/>
        </w:rPr>
        <w:t xml:space="preserve">. Currently, there is no state-level organization tasked with providing </w:t>
      </w:r>
      <w:r w:rsidR="00CC78A4" w:rsidRPr="00BF09C4">
        <w:rPr>
          <w:rFonts w:asciiTheme="minorHAnsi" w:eastAsia="MS Mincho" w:hAnsiTheme="minorHAnsi" w:cstheme="minorHAnsi"/>
          <w:color w:val="FF0000"/>
          <w:sz w:val="20"/>
          <w:szCs w:val="20"/>
        </w:rPr>
        <w:t>planning and support</w:t>
      </w:r>
      <w:r w:rsidRPr="00BF09C4">
        <w:rPr>
          <w:rFonts w:asciiTheme="minorHAnsi" w:eastAsia="MS Mincho" w:hAnsiTheme="minorHAnsi" w:cstheme="minorHAnsi"/>
          <w:color w:val="FF0000"/>
          <w:sz w:val="20"/>
          <w:szCs w:val="20"/>
        </w:rPr>
        <w:t xml:space="preserve"> to law enforcement agencies to address these issues. Moreover, additional emphasis must be placed on understanding the impact of best practices in Connecticut.</w:t>
      </w:r>
    </w:p>
    <w:p w14:paraId="35E32331" w14:textId="77777777" w:rsidR="00742AC3" w:rsidRPr="00BF09C4" w:rsidRDefault="00742AC3" w:rsidP="00742AC3">
      <w:pPr>
        <w:spacing w:line="240" w:lineRule="auto"/>
        <w:rPr>
          <w:rFonts w:asciiTheme="minorHAnsi" w:eastAsia="MS Mincho" w:hAnsiTheme="minorHAnsi" w:cstheme="minorHAnsi"/>
          <w:color w:val="FF0000"/>
          <w:sz w:val="20"/>
          <w:szCs w:val="20"/>
        </w:rPr>
      </w:pPr>
    </w:p>
    <w:p w14:paraId="65C9D2FC" w14:textId="75522C1A" w:rsidR="00742AC3" w:rsidRPr="00BF09C4" w:rsidRDefault="00742AC3" w:rsidP="00742AC3">
      <w:pPr>
        <w:spacing w:line="240" w:lineRule="auto"/>
        <w:rPr>
          <w:rFonts w:asciiTheme="minorHAnsi" w:eastAsia="MS Mincho" w:hAnsiTheme="minorHAnsi" w:cstheme="minorHAnsi"/>
          <w:color w:val="FF0000"/>
          <w:sz w:val="20"/>
          <w:szCs w:val="20"/>
        </w:rPr>
      </w:pPr>
      <w:r w:rsidRPr="00BF09C4">
        <w:rPr>
          <w:rFonts w:asciiTheme="minorHAnsi" w:eastAsia="MS Mincho" w:hAnsiTheme="minorHAnsi" w:cstheme="minorHAnsi"/>
          <w:color w:val="FF0000"/>
          <w:sz w:val="20"/>
          <w:szCs w:val="20"/>
        </w:rPr>
        <w:t xml:space="preserve">Funding a Diversity, Equity, and Inclusion program and personnel through POST, would provide a way to </w:t>
      </w:r>
      <w:r w:rsidR="00C82646" w:rsidRPr="00C82646">
        <w:rPr>
          <w:rFonts w:asciiTheme="minorHAnsi" w:eastAsia="MS Mincho" w:hAnsiTheme="minorHAnsi" w:cstheme="minorHAnsi"/>
          <w:color w:val="7030A0"/>
          <w:sz w:val="20"/>
          <w:szCs w:val="20"/>
        </w:rPr>
        <w:t>manage</w:t>
      </w:r>
      <w:r w:rsidRPr="00BF09C4">
        <w:rPr>
          <w:rFonts w:asciiTheme="minorHAnsi" w:eastAsia="MS Mincho" w:hAnsiTheme="minorHAnsi" w:cstheme="minorHAnsi"/>
          <w:color w:val="FF0000"/>
          <w:sz w:val="20"/>
          <w:szCs w:val="20"/>
        </w:rPr>
        <w:t xml:space="preserve"> progress and to assist agencies by providing best practices and planning. This program would establish a </w:t>
      </w:r>
      <w:r w:rsidR="00CC78A4" w:rsidRPr="00BF09C4">
        <w:rPr>
          <w:rFonts w:asciiTheme="minorHAnsi" w:eastAsia="MS Mincho" w:hAnsiTheme="minorHAnsi" w:cstheme="minorHAnsi"/>
          <w:color w:val="FF0000"/>
          <w:sz w:val="20"/>
          <w:szCs w:val="20"/>
        </w:rPr>
        <w:t>program</w:t>
      </w:r>
      <w:r w:rsidRPr="00BF09C4">
        <w:rPr>
          <w:rFonts w:asciiTheme="minorHAnsi" w:eastAsia="MS Mincho" w:hAnsiTheme="minorHAnsi" w:cstheme="minorHAnsi"/>
          <w:color w:val="FF0000"/>
          <w:sz w:val="20"/>
          <w:szCs w:val="20"/>
        </w:rPr>
        <w:t xml:space="preserve"> that can </w:t>
      </w:r>
      <w:r w:rsidR="00CC78A4" w:rsidRPr="00BF09C4">
        <w:rPr>
          <w:rFonts w:asciiTheme="minorHAnsi" w:eastAsia="MS Mincho" w:hAnsiTheme="minorHAnsi" w:cstheme="minorHAnsi"/>
          <w:color w:val="FF0000"/>
          <w:sz w:val="20"/>
          <w:szCs w:val="20"/>
        </w:rPr>
        <w:t xml:space="preserve">be </w:t>
      </w:r>
      <w:r w:rsidRPr="00BF09C4">
        <w:rPr>
          <w:rFonts w:asciiTheme="minorHAnsi" w:eastAsia="MS Mincho" w:hAnsiTheme="minorHAnsi" w:cstheme="minorHAnsi"/>
          <w:color w:val="FF0000"/>
          <w:sz w:val="20"/>
          <w:szCs w:val="20"/>
        </w:rPr>
        <w:t>responsib</w:t>
      </w:r>
      <w:r w:rsidR="00CC78A4" w:rsidRPr="00BF09C4">
        <w:rPr>
          <w:rFonts w:asciiTheme="minorHAnsi" w:eastAsia="MS Mincho" w:hAnsiTheme="minorHAnsi" w:cstheme="minorHAnsi"/>
          <w:color w:val="FF0000"/>
          <w:sz w:val="20"/>
          <w:szCs w:val="20"/>
        </w:rPr>
        <w:t>le</w:t>
      </w:r>
      <w:r w:rsidRPr="00BF09C4">
        <w:rPr>
          <w:rFonts w:asciiTheme="minorHAnsi" w:eastAsia="MS Mincho" w:hAnsiTheme="minorHAnsi" w:cstheme="minorHAnsi"/>
          <w:color w:val="FF0000"/>
          <w:sz w:val="20"/>
          <w:szCs w:val="20"/>
        </w:rPr>
        <w:t xml:space="preserve"> for these tasks. Diversification planning must include considerations about levels of diversity overall which can be addressed through marketing, recruiting, and hiring as well as levels of diversity in different ranks within departments which can be addressed through promotional processes. Both issues include legal complexities including employment law considerations, navigation of union issues, and issues limiting community participation in these processes. These concerns further illustrate the need for state-level guidance in diversification strategy development.</w:t>
      </w:r>
    </w:p>
    <w:p w14:paraId="0AAFF2A1" w14:textId="77777777" w:rsidR="00742AC3" w:rsidRPr="00BF09C4" w:rsidRDefault="00742AC3" w:rsidP="00742AC3">
      <w:pPr>
        <w:spacing w:line="240" w:lineRule="auto"/>
        <w:rPr>
          <w:rFonts w:asciiTheme="minorHAnsi" w:eastAsia="MS Mincho" w:hAnsiTheme="minorHAnsi" w:cstheme="minorHAnsi"/>
          <w:color w:val="FF0000"/>
          <w:sz w:val="20"/>
          <w:szCs w:val="20"/>
        </w:rPr>
      </w:pPr>
    </w:p>
    <w:p w14:paraId="2CA68045" w14:textId="3FB892F4" w:rsidR="000821CD" w:rsidRPr="00BF09C4" w:rsidRDefault="00742AC3" w:rsidP="00D56751">
      <w:pPr>
        <w:spacing w:line="240" w:lineRule="auto"/>
        <w:rPr>
          <w:rFonts w:asciiTheme="minorHAnsi" w:eastAsia="MS Mincho" w:hAnsiTheme="minorHAnsi" w:cstheme="minorHAnsi"/>
          <w:color w:val="FF0000"/>
          <w:sz w:val="20"/>
          <w:szCs w:val="20"/>
        </w:rPr>
      </w:pPr>
      <w:r w:rsidRPr="00BF09C4">
        <w:rPr>
          <w:rFonts w:asciiTheme="minorHAnsi" w:eastAsia="MS Mincho" w:hAnsiTheme="minorHAnsi" w:cstheme="minorHAnsi"/>
          <w:color w:val="FF0000"/>
          <w:sz w:val="20"/>
          <w:szCs w:val="20"/>
        </w:rPr>
        <w:t xml:space="preserve">Finally, a state-level program would be in a stronger position to develop and implement a statewide data system to track all applicants and disqualifications, all cadets and separations, and all officers and </w:t>
      </w:r>
      <w:r w:rsidR="00CC78A4" w:rsidRPr="00BF09C4">
        <w:rPr>
          <w:rFonts w:asciiTheme="minorHAnsi" w:eastAsia="MS Mincho" w:hAnsiTheme="minorHAnsi" w:cstheme="minorHAnsi"/>
          <w:color w:val="FF0000"/>
          <w:sz w:val="20"/>
          <w:szCs w:val="20"/>
        </w:rPr>
        <w:t>promotion and</w:t>
      </w:r>
      <w:r w:rsidRPr="00BF09C4">
        <w:rPr>
          <w:rFonts w:asciiTheme="minorHAnsi" w:eastAsia="MS Mincho" w:hAnsiTheme="minorHAnsi" w:cstheme="minorHAnsi"/>
          <w:color w:val="FF0000"/>
          <w:sz w:val="20"/>
          <w:szCs w:val="20"/>
        </w:rPr>
        <w:t xml:space="preserve"> attrition at all agencies</w:t>
      </w:r>
      <w:r w:rsidR="00CC78A4" w:rsidRPr="00BF09C4">
        <w:rPr>
          <w:rFonts w:asciiTheme="minorHAnsi" w:eastAsia="MS Mincho" w:hAnsiTheme="minorHAnsi" w:cstheme="minorHAnsi"/>
          <w:color w:val="FF0000"/>
          <w:sz w:val="20"/>
          <w:szCs w:val="20"/>
        </w:rPr>
        <w:t xml:space="preserve"> within Connecticut</w:t>
      </w:r>
      <w:r w:rsidRPr="00BF09C4">
        <w:rPr>
          <w:rFonts w:asciiTheme="minorHAnsi" w:eastAsia="MS Mincho" w:hAnsiTheme="minorHAnsi" w:cstheme="minorHAnsi"/>
          <w:color w:val="FF0000"/>
          <w:sz w:val="20"/>
          <w:szCs w:val="20"/>
        </w:rPr>
        <w:t>. These data would provide the opportunity to determine the impact of state and agency-level changes in recruiting, hiring, training,</w:t>
      </w:r>
      <w:r w:rsidR="00CC78A4" w:rsidRPr="00BF09C4">
        <w:rPr>
          <w:rFonts w:asciiTheme="minorHAnsi" w:eastAsia="MS Mincho" w:hAnsiTheme="minorHAnsi" w:cstheme="minorHAnsi"/>
          <w:color w:val="FF0000"/>
          <w:sz w:val="20"/>
          <w:szCs w:val="20"/>
        </w:rPr>
        <w:t xml:space="preserve"> </w:t>
      </w:r>
      <w:r w:rsidR="00CC78A4" w:rsidRPr="00BF09C4">
        <w:rPr>
          <w:rFonts w:asciiTheme="minorHAnsi" w:eastAsia="MS Mincho" w:hAnsiTheme="minorHAnsi" w:cstheme="minorHAnsi"/>
          <w:color w:val="FF0000"/>
          <w:sz w:val="20"/>
          <w:szCs w:val="20"/>
        </w:rPr>
        <w:lastRenderedPageBreak/>
        <w:t>promotion,</w:t>
      </w:r>
      <w:r w:rsidRPr="00BF09C4">
        <w:rPr>
          <w:rFonts w:asciiTheme="minorHAnsi" w:eastAsia="MS Mincho" w:hAnsiTheme="minorHAnsi" w:cstheme="minorHAnsi"/>
          <w:color w:val="FF0000"/>
          <w:sz w:val="20"/>
          <w:szCs w:val="20"/>
        </w:rPr>
        <w:t xml:space="preserve"> and ret</w:t>
      </w:r>
      <w:r w:rsidR="00CC78A4" w:rsidRPr="00BF09C4">
        <w:rPr>
          <w:rFonts w:asciiTheme="minorHAnsi" w:eastAsia="MS Mincho" w:hAnsiTheme="minorHAnsi" w:cstheme="minorHAnsi"/>
          <w:color w:val="FF0000"/>
          <w:sz w:val="20"/>
          <w:szCs w:val="20"/>
        </w:rPr>
        <w:t>ention of</w:t>
      </w:r>
      <w:r w:rsidRPr="00BF09C4">
        <w:rPr>
          <w:rFonts w:asciiTheme="minorHAnsi" w:eastAsia="MS Mincho" w:hAnsiTheme="minorHAnsi" w:cstheme="minorHAnsi"/>
          <w:color w:val="FF0000"/>
          <w:sz w:val="20"/>
          <w:szCs w:val="20"/>
        </w:rPr>
        <w:t xml:space="preserve"> law enforcement officers. </w:t>
      </w:r>
      <w:r w:rsidR="00CC78A4" w:rsidRPr="00BF09C4">
        <w:rPr>
          <w:rFonts w:asciiTheme="minorHAnsi" w:eastAsia="MS Mincho" w:hAnsiTheme="minorHAnsi" w:cstheme="minorHAnsi"/>
          <w:color w:val="FF0000"/>
          <w:sz w:val="20"/>
          <w:szCs w:val="20"/>
        </w:rPr>
        <w:t>This would f</w:t>
      </w:r>
      <w:r w:rsidRPr="00BF09C4">
        <w:rPr>
          <w:rFonts w:asciiTheme="minorHAnsi" w:eastAsia="MS Mincho" w:hAnsiTheme="minorHAnsi" w:cstheme="minorHAnsi"/>
          <w:color w:val="FF0000"/>
          <w:sz w:val="20"/>
          <w:szCs w:val="20"/>
        </w:rPr>
        <w:t xml:space="preserve">urther </w:t>
      </w:r>
      <w:r w:rsidR="00CC78A4" w:rsidRPr="00BF09C4">
        <w:rPr>
          <w:rFonts w:asciiTheme="minorHAnsi" w:eastAsia="MS Mincho" w:hAnsiTheme="minorHAnsi" w:cstheme="minorHAnsi"/>
          <w:color w:val="FF0000"/>
          <w:sz w:val="20"/>
          <w:szCs w:val="20"/>
        </w:rPr>
        <w:t xml:space="preserve">enhance </w:t>
      </w:r>
      <w:r w:rsidRPr="00BF09C4">
        <w:rPr>
          <w:rFonts w:asciiTheme="minorHAnsi" w:eastAsia="MS Mincho" w:hAnsiTheme="minorHAnsi" w:cstheme="minorHAnsi"/>
          <w:color w:val="FF0000"/>
          <w:sz w:val="20"/>
          <w:szCs w:val="20"/>
        </w:rPr>
        <w:t xml:space="preserve">the </w:t>
      </w:r>
      <w:r w:rsidR="00CC78A4" w:rsidRPr="00BF09C4">
        <w:rPr>
          <w:rFonts w:asciiTheme="minorHAnsi" w:eastAsia="MS Mincho" w:hAnsiTheme="minorHAnsi" w:cstheme="minorHAnsi"/>
          <w:color w:val="FF0000"/>
          <w:sz w:val="20"/>
          <w:szCs w:val="20"/>
        </w:rPr>
        <w:t xml:space="preserve">value of the planning </w:t>
      </w:r>
      <w:r w:rsidRPr="00BF09C4">
        <w:rPr>
          <w:rFonts w:asciiTheme="minorHAnsi" w:eastAsia="MS Mincho" w:hAnsiTheme="minorHAnsi" w:cstheme="minorHAnsi"/>
          <w:color w:val="FF0000"/>
          <w:sz w:val="20"/>
          <w:szCs w:val="20"/>
        </w:rPr>
        <w:t>program a</w:t>
      </w:r>
      <w:r w:rsidR="00CC78A4" w:rsidRPr="00BF09C4">
        <w:rPr>
          <w:rFonts w:asciiTheme="minorHAnsi" w:eastAsia="MS Mincho" w:hAnsiTheme="minorHAnsi" w:cstheme="minorHAnsi"/>
          <w:color w:val="FF0000"/>
          <w:sz w:val="20"/>
          <w:szCs w:val="20"/>
        </w:rPr>
        <w:t>s well as substantially</w:t>
      </w:r>
      <w:r w:rsidRPr="00BF09C4">
        <w:rPr>
          <w:rFonts w:asciiTheme="minorHAnsi" w:eastAsia="MS Mincho" w:hAnsiTheme="minorHAnsi" w:cstheme="minorHAnsi"/>
          <w:color w:val="FF0000"/>
          <w:sz w:val="20"/>
          <w:szCs w:val="20"/>
        </w:rPr>
        <w:t xml:space="preserve"> individual agencies’ understanding of the impact at various attempts to diversify.</w:t>
      </w:r>
    </w:p>
    <w:sectPr w:rsidR="000821CD" w:rsidRPr="00BF09C4" w:rsidSect="003F0A55">
      <w:headerReference w:type="default" r:id="rId8"/>
      <w:footerReference w:type="default" r:id="rId9"/>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F6EA4" w14:textId="77777777" w:rsidR="00AA7D96" w:rsidRDefault="00AA7D96" w:rsidP="003F0A55">
      <w:pPr>
        <w:spacing w:line="240" w:lineRule="auto"/>
      </w:pPr>
      <w:r>
        <w:separator/>
      </w:r>
    </w:p>
  </w:endnote>
  <w:endnote w:type="continuationSeparator" w:id="0">
    <w:p w14:paraId="1A5D49BB" w14:textId="77777777" w:rsidR="00AA7D96" w:rsidRDefault="00AA7D96" w:rsidP="003F0A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547982"/>
      <w:docPartObj>
        <w:docPartGallery w:val="Page Numbers (Bottom of Page)"/>
        <w:docPartUnique/>
      </w:docPartObj>
    </w:sdtPr>
    <w:sdtEndPr>
      <w:rPr>
        <w:noProof/>
        <w:sz w:val="18"/>
        <w:szCs w:val="18"/>
      </w:rPr>
    </w:sdtEndPr>
    <w:sdtContent>
      <w:p w14:paraId="721784D7" w14:textId="1E281FCB" w:rsidR="000821CD" w:rsidRPr="000821CD" w:rsidRDefault="000821CD">
        <w:pPr>
          <w:pStyle w:val="Footer"/>
          <w:jc w:val="center"/>
          <w:rPr>
            <w:sz w:val="18"/>
            <w:szCs w:val="18"/>
          </w:rPr>
        </w:pPr>
        <w:r w:rsidRPr="000821CD">
          <w:rPr>
            <w:sz w:val="18"/>
            <w:szCs w:val="18"/>
          </w:rPr>
          <w:fldChar w:fldCharType="begin"/>
        </w:r>
        <w:r w:rsidRPr="000821CD">
          <w:rPr>
            <w:sz w:val="18"/>
            <w:szCs w:val="18"/>
          </w:rPr>
          <w:instrText xml:space="preserve"> PAGE   \* MERGEFORMAT </w:instrText>
        </w:r>
        <w:r w:rsidRPr="000821CD">
          <w:rPr>
            <w:sz w:val="18"/>
            <w:szCs w:val="18"/>
          </w:rPr>
          <w:fldChar w:fldCharType="separate"/>
        </w:r>
        <w:r w:rsidRPr="000821CD">
          <w:rPr>
            <w:noProof/>
            <w:sz w:val="18"/>
            <w:szCs w:val="18"/>
          </w:rPr>
          <w:t>2</w:t>
        </w:r>
        <w:r w:rsidRPr="000821CD">
          <w:rPr>
            <w:noProof/>
            <w:sz w:val="18"/>
            <w:szCs w:val="18"/>
          </w:rPr>
          <w:fldChar w:fldCharType="end"/>
        </w:r>
      </w:p>
    </w:sdtContent>
  </w:sdt>
  <w:p w14:paraId="4C68EEB6" w14:textId="0C77FC52" w:rsidR="006C6B8B" w:rsidRDefault="006C6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039ED" w14:textId="77777777" w:rsidR="00AA7D96" w:rsidRDefault="00AA7D96" w:rsidP="003F0A55">
      <w:pPr>
        <w:spacing w:line="240" w:lineRule="auto"/>
      </w:pPr>
      <w:r>
        <w:separator/>
      </w:r>
    </w:p>
  </w:footnote>
  <w:footnote w:type="continuationSeparator" w:id="0">
    <w:p w14:paraId="7881C5EC" w14:textId="77777777" w:rsidR="00AA7D96" w:rsidRDefault="00AA7D96" w:rsidP="003F0A55">
      <w:pPr>
        <w:spacing w:line="240" w:lineRule="auto"/>
      </w:pPr>
      <w:r>
        <w:continuationSeparator/>
      </w:r>
    </w:p>
  </w:footnote>
  <w:footnote w:id="1">
    <w:p w14:paraId="40DC3B9D" w14:textId="6971BE18" w:rsidR="00DE775C" w:rsidRPr="006866DF" w:rsidRDefault="00DE775C">
      <w:pPr>
        <w:pStyle w:val="FootnoteText"/>
        <w:rPr>
          <w:rFonts w:asciiTheme="minorHAnsi" w:hAnsiTheme="minorHAnsi" w:cstheme="minorHAnsi"/>
          <w:sz w:val="16"/>
          <w:szCs w:val="16"/>
        </w:rPr>
      </w:pPr>
      <w:r w:rsidRPr="006866DF">
        <w:rPr>
          <w:rStyle w:val="FootnoteReference"/>
          <w:rFonts w:asciiTheme="minorHAnsi" w:hAnsiTheme="minorHAnsi" w:cstheme="minorHAnsi"/>
          <w:sz w:val="16"/>
          <w:szCs w:val="16"/>
        </w:rPr>
        <w:footnoteRef/>
      </w:r>
      <w:r w:rsidRPr="006866DF">
        <w:rPr>
          <w:rFonts w:asciiTheme="minorHAnsi" w:hAnsiTheme="minorHAnsi" w:cstheme="minorHAnsi"/>
          <w:sz w:val="16"/>
          <w:szCs w:val="16"/>
        </w:rPr>
        <w:t xml:space="preserve"> Reaves, 2019</w:t>
      </w:r>
    </w:p>
  </w:footnote>
  <w:footnote w:id="2">
    <w:p w14:paraId="6C1963DC" w14:textId="79902599" w:rsidR="00C14005" w:rsidRPr="006866DF" w:rsidRDefault="00C14005">
      <w:pPr>
        <w:pStyle w:val="FootnoteText"/>
        <w:rPr>
          <w:rFonts w:asciiTheme="minorHAnsi" w:hAnsiTheme="minorHAnsi" w:cstheme="minorHAnsi"/>
          <w:sz w:val="16"/>
          <w:szCs w:val="16"/>
        </w:rPr>
      </w:pPr>
      <w:r w:rsidRPr="006866DF">
        <w:rPr>
          <w:rStyle w:val="FootnoteReference"/>
          <w:rFonts w:asciiTheme="minorHAnsi" w:hAnsiTheme="minorHAnsi" w:cstheme="minorHAnsi"/>
          <w:sz w:val="16"/>
          <w:szCs w:val="16"/>
        </w:rPr>
        <w:footnoteRef/>
      </w:r>
      <w:r w:rsidRPr="006866DF">
        <w:rPr>
          <w:rFonts w:asciiTheme="minorHAnsi" w:hAnsiTheme="minorHAnsi" w:cstheme="minorHAnsi"/>
          <w:sz w:val="16"/>
          <w:szCs w:val="16"/>
        </w:rPr>
        <w:t xml:space="preserve"> Law Enforcement Management and Administrati</w:t>
      </w:r>
      <w:r w:rsidR="00904013" w:rsidRPr="006866DF">
        <w:rPr>
          <w:rFonts w:asciiTheme="minorHAnsi" w:hAnsiTheme="minorHAnsi" w:cstheme="minorHAnsi"/>
          <w:sz w:val="16"/>
          <w:szCs w:val="16"/>
        </w:rPr>
        <w:t>ve</w:t>
      </w:r>
      <w:r w:rsidRPr="006866DF">
        <w:rPr>
          <w:rFonts w:asciiTheme="minorHAnsi" w:hAnsiTheme="minorHAnsi" w:cstheme="minorHAnsi"/>
          <w:sz w:val="16"/>
          <w:szCs w:val="16"/>
        </w:rPr>
        <w:t xml:space="preserve"> Statistics 2013</w:t>
      </w:r>
    </w:p>
  </w:footnote>
  <w:footnote w:id="3">
    <w:p w14:paraId="2BC7BFBE" w14:textId="72A6EEFC" w:rsidR="00634CD3" w:rsidRPr="006866DF" w:rsidRDefault="00634CD3">
      <w:pPr>
        <w:pStyle w:val="FootnoteText"/>
        <w:rPr>
          <w:rFonts w:asciiTheme="minorHAnsi" w:hAnsiTheme="minorHAnsi" w:cstheme="minorHAnsi"/>
          <w:sz w:val="16"/>
          <w:szCs w:val="16"/>
        </w:rPr>
      </w:pPr>
      <w:r w:rsidRPr="006866DF">
        <w:rPr>
          <w:rStyle w:val="FootnoteReference"/>
          <w:rFonts w:asciiTheme="minorHAnsi" w:hAnsiTheme="minorHAnsi" w:cstheme="minorHAnsi"/>
          <w:sz w:val="16"/>
          <w:szCs w:val="16"/>
        </w:rPr>
        <w:footnoteRef/>
      </w:r>
      <w:r w:rsidRPr="006866DF">
        <w:rPr>
          <w:rFonts w:asciiTheme="minorHAnsi" w:hAnsiTheme="minorHAnsi" w:cstheme="minorHAnsi"/>
          <w:sz w:val="16"/>
          <w:szCs w:val="16"/>
        </w:rPr>
        <w:t xml:space="preserve"> Reporting agencies that serve a population more than 100,000:</w:t>
      </w:r>
    </w:p>
    <w:p w14:paraId="092B39AE" w14:textId="4B2C8149" w:rsidR="00634CD3" w:rsidRPr="006866DF" w:rsidRDefault="00634CD3">
      <w:pPr>
        <w:pStyle w:val="FootnoteText"/>
        <w:rPr>
          <w:rFonts w:asciiTheme="minorHAnsi" w:hAnsiTheme="minorHAnsi" w:cstheme="minorHAnsi"/>
          <w:sz w:val="16"/>
          <w:szCs w:val="16"/>
        </w:rPr>
      </w:pPr>
      <w:r w:rsidRPr="006866DF">
        <w:rPr>
          <w:rFonts w:asciiTheme="minorHAnsi" w:hAnsiTheme="minorHAnsi" w:cstheme="minorHAnsi"/>
          <w:sz w:val="16"/>
          <w:szCs w:val="16"/>
        </w:rPr>
        <w:t>Bridgeport, Hartford, Middletown, New Haven, Stamford, Waterbury</w:t>
      </w:r>
    </w:p>
  </w:footnote>
  <w:footnote w:id="4">
    <w:p w14:paraId="3FA1B67A" w14:textId="76B525E2" w:rsidR="00C7712D" w:rsidRPr="006866DF" w:rsidRDefault="00C7712D">
      <w:pPr>
        <w:pStyle w:val="FootnoteText"/>
        <w:rPr>
          <w:rFonts w:asciiTheme="minorHAnsi" w:hAnsiTheme="minorHAnsi" w:cstheme="minorHAnsi"/>
          <w:sz w:val="16"/>
          <w:szCs w:val="16"/>
        </w:rPr>
      </w:pPr>
      <w:r w:rsidRPr="006866DF">
        <w:rPr>
          <w:rStyle w:val="FootnoteReference"/>
          <w:rFonts w:asciiTheme="minorHAnsi" w:hAnsiTheme="minorHAnsi" w:cstheme="minorHAnsi"/>
          <w:sz w:val="16"/>
          <w:szCs w:val="16"/>
        </w:rPr>
        <w:footnoteRef/>
      </w:r>
      <w:r w:rsidRPr="006866DF">
        <w:rPr>
          <w:rFonts w:asciiTheme="minorHAnsi" w:hAnsiTheme="minorHAnsi" w:cstheme="minorHAnsi"/>
          <w:sz w:val="16"/>
          <w:szCs w:val="16"/>
        </w:rPr>
        <w:t xml:space="preserve"> While diversity is a larger </w:t>
      </w:r>
      <w:r w:rsidR="00FD1714" w:rsidRPr="006866DF">
        <w:rPr>
          <w:rFonts w:asciiTheme="minorHAnsi" w:hAnsiTheme="minorHAnsi" w:cstheme="minorHAnsi"/>
          <w:sz w:val="16"/>
          <w:szCs w:val="16"/>
        </w:rPr>
        <w:t>concept</w:t>
      </w:r>
      <w:r w:rsidRPr="006866DF">
        <w:rPr>
          <w:rFonts w:asciiTheme="minorHAnsi" w:hAnsiTheme="minorHAnsi" w:cstheme="minorHAnsi"/>
          <w:sz w:val="16"/>
          <w:szCs w:val="16"/>
        </w:rPr>
        <w:t xml:space="preserve"> incorporating principles of inclusivity for other marginalized groups, </w:t>
      </w:r>
      <w:r w:rsidR="00F41B6A" w:rsidRPr="006866DF">
        <w:rPr>
          <w:rFonts w:asciiTheme="minorHAnsi" w:hAnsiTheme="minorHAnsi" w:cstheme="minorHAnsi"/>
          <w:sz w:val="16"/>
          <w:szCs w:val="16"/>
        </w:rPr>
        <w:t xml:space="preserve">studies of </w:t>
      </w:r>
      <w:r w:rsidRPr="006866DF">
        <w:rPr>
          <w:rFonts w:asciiTheme="minorHAnsi" w:hAnsiTheme="minorHAnsi" w:cstheme="minorHAnsi"/>
          <w:sz w:val="16"/>
          <w:szCs w:val="16"/>
        </w:rPr>
        <w:t xml:space="preserve">diversity in the policing context </w:t>
      </w:r>
      <w:r w:rsidR="00F41B6A" w:rsidRPr="006866DF">
        <w:rPr>
          <w:rFonts w:asciiTheme="minorHAnsi" w:hAnsiTheme="minorHAnsi" w:cstheme="minorHAnsi"/>
          <w:sz w:val="16"/>
          <w:szCs w:val="16"/>
        </w:rPr>
        <w:t>are</w:t>
      </w:r>
      <w:r w:rsidRPr="006866DF">
        <w:rPr>
          <w:rFonts w:asciiTheme="minorHAnsi" w:hAnsiTheme="minorHAnsi" w:cstheme="minorHAnsi"/>
          <w:sz w:val="16"/>
          <w:szCs w:val="16"/>
        </w:rPr>
        <w:t xml:space="preserve"> generally limited to the categories traditionally measured within police organizations.</w:t>
      </w:r>
    </w:p>
  </w:footnote>
  <w:footnote w:id="5">
    <w:p w14:paraId="67ACBFDA" w14:textId="6C3B1560" w:rsidR="00DE775C" w:rsidRPr="006866DF" w:rsidRDefault="00DE775C">
      <w:pPr>
        <w:pStyle w:val="FootnoteText"/>
        <w:rPr>
          <w:rFonts w:asciiTheme="minorHAnsi" w:hAnsiTheme="minorHAnsi" w:cstheme="minorHAnsi"/>
          <w:sz w:val="16"/>
          <w:szCs w:val="16"/>
        </w:rPr>
      </w:pPr>
      <w:r w:rsidRPr="006866DF">
        <w:rPr>
          <w:rStyle w:val="FootnoteReference"/>
          <w:rFonts w:asciiTheme="minorHAnsi" w:hAnsiTheme="minorHAnsi" w:cstheme="minorHAnsi"/>
          <w:sz w:val="16"/>
          <w:szCs w:val="16"/>
        </w:rPr>
        <w:footnoteRef/>
      </w:r>
      <w:r w:rsidRPr="006866DF">
        <w:rPr>
          <w:rFonts w:asciiTheme="minorHAnsi" w:hAnsiTheme="minorHAnsi" w:cstheme="minorHAnsi"/>
          <w:sz w:val="16"/>
          <w:szCs w:val="16"/>
        </w:rPr>
        <w:t xml:space="preserve"> Knox et al., 2021</w:t>
      </w:r>
    </w:p>
  </w:footnote>
  <w:footnote w:id="6">
    <w:p w14:paraId="16A9F30D" w14:textId="0C768E5F" w:rsidR="00D56751" w:rsidRPr="006866DF" w:rsidRDefault="00D56751">
      <w:pPr>
        <w:pStyle w:val="FootnoteText"/>
        <w:rPr>
          <w:rFonts w:asciiTheme="minorHAnsi" w:hAnsiTheme="minorHAnsi" w:cstheme="minorHAnsi"/>
          <w:sz w:val="16"/>
          <w:szCs w:val="16"/>
        </w:rPr>
      </w:pPr>
      <w:r w:rsidRPr="006866DF">
        <w:rPr>
          <w:rStyle w:val="FootnoteReference"/>
          <w:rFonts w:asciiTheme="minorHAnsi" w:hAnsiTheme="minorHAnsi" w:cstheme="minorHAnsi"/>
          <w:sz w:val="16"/>
          <w:szCs w:val="16"/>
        </w:rPr>
        <w:footnoteRef/>
      </w:r>
      <w:r w:rsidRPr="006866DF">
        <w:rPr>
          <w:rFonts w:asciiTheme="minorHAnsi" w:hAnsiTheme="minorHAnsi" w:cstheme="minorHAnsi"/>
          <w:sz w:val="16"/>
          <w:szCs w:val="16"/>
        </w:rPr>
        <w:t xml:space="preserve"> Knox et al., 2021; Schuck et al., 2005</w:t>
      </w:r>
    </w:p>
  </w:footnote>
  <w:footnote w:id="7">
    <w:p w14:paraId="21FFB500" w14:textId="5D18EDA1" w:rsidR="00D56751" w:rsidRPr="006866DF" w:rsidRDefault="00D56751">
      <w:pPr>
        <w:pStyle w:val="FootnoteText"/>
        <w:rPr>
          <w:rFonts w:asciiTheme="minorHAnsi" w:hAnsiTheme="minorHAnsi" w:cstheme="minorHAnsi"/>
          <w:sz w:val="16"/>
          <w:szCs w:val="16"/>
        </w:rPr>
      </w:pPr>
      <w:r w:rsidRPr="006866DF">
        <w:rPr>
          <w:rStyle w:val="FootnoteReference"/>
          <w:rFonts w:asciiTheme="minorHAnsi" w:hAnsiTheme="minorHAnsi" w:cstheme="minorHAnsi"/>
          <w:sz w:val="16"/>
          <w:szCs w:val="16"/>
        </w:rPr>
        <w:footnoteRef/>
      </w:r>
      <w:r w:rsidRPr="006866DF">
        <w:rPr>
          <w:rFonts w:asciiTheme="minorHAnsi" w:hAnsiTheme="minorHAnsi" w:cstheme="minorHAnsi"/>
          <w:sz w:val="16"/>
          <w:szCs w:val="16"/>
        </w:rPr>
        <w:t xml:space="preserve"> Paoline et al., 2004</w:t>
      </w:r>
    </w:p>
  </w:footnote>
  <w:footnote w:id="8">
    <w:p w14:paraId="0CDEB391" w14:textId="55CF3194" w:rsidR="00D56751" w:rsidRPr="006866DF" w:rsidRDefault="00D56751">
      <w:pPr>
        <w:pStyle w:val="FootnoteText"/>
        <w:rPr>
          <w:rFonts w:asciiTheme="minorHAnsi" w:hAnsiTheme="minorHAnsi" w:cstheme="minorHAnsi"/>
          <w:sz w:val="16"/>
          <w:szCs w:val="16"/>
        </w:rPr>
      </w:pPr>
      <w:r w:rsidRPr="006866DF">
        <w:rPr>
          <w:rStyle w:val="FootnoteReference"/>
          <w:rFonts w:asciiTheme="minorHAnsi" w:hAnsiTheme="minorHAnsi" w:cstheme="minorHAnsi"/>
          <w:sz w:val="16"/>
          <w:szCs w:val="16"/>
        </w:rPr>
        <w:footnoteRef/>
      </w:r>
      <w:r w:rsidRPr="006866DF">
        <w:rPr>
          <w:rFonts w:asciiTheme="minorHAnsi" w:hAnsiTheme="minorHAnsi" w:cstheme="minorHAnsi"/>
          <w:sz w:val="16"/>
          <w:szCs w:val="16"/>
        </w:rPr>
        <w:t xml:space="preserve"> Corsianos, 2011</w:t>
      </w:r>
    </w:p>
  </w:footnote>
  <w:footnote w:id="9">
    <w:p w14:paraId="075648D5" w14:textId="76F5CFBB" w:rsidR="00D56751" w:rsidRPr="006866DF" w:rsidRDefault="00D56751">
      <w:pPr>
        <w:pStyle w:val="FootnoteText"/>
        <w:rPr>
          <w:rFonts w:asciiTheme="minorHAnsi" w:hAnsiTheme="minorHAnsi" w:cstheme="minorHAnsi"/>
          <w:sz w:val="16"/>
          <w:szCs w:val="16"/>
        </w:rPr>
      </w:pPr>
      <w:r w:rsidRPr="006866DF">
        <w:rPr>
          <w:rStyle w:val="FootnoteReference"/>
          <w:rFonts w:asciiTheme="minorHAnsi" w:hAnsiTheme="minorHAnsi" w:cstheme="minorHAnsi"/>
          <w:sz w:val="16"/>
          <w:szCs w:val="16"/>
        </w:rPr>
        <w:footnoteRef/>
      </w:r>
      <w:r w:rsidRPr="006866DF">
        <w:rPr>
          <w:rFonts w:asciiTheme="minorHAnsi" w:hAnsiTheme="minorHAnsi" w:cstheme="minorHAnsi"/>
          <w:sz w:val="16"/>
          <w:szCs w:val="16"/>
        </w:rPr>
        <w:t xml:space="preserve"> Novich et al., 2018</w:t>
      </w:r>
    </w:p>
  </w:footnote>
  <w:footnote w:id="10">
    <w:p w14:paraId="2783E1CD" w14:textId="77777777" w:rsidR="000821CD" w:rsidRPr="0072468F" w:rsidRDefault="000821CD" w:rsidP="000821CD">
      <w:pPr>
        <w:pStyle w:val="FootnoteText"/>
        <w:rPr>
          <w:rFonts w:asciiTheme="minorHAnsi" w:hAnsiTheme="minorHAnsi" w:cstheme="minorHAnsi"/>
          <w:sz w:val="16"/>
          <w:szCs w:val="16"/>
        </w:rPr>
      </w:pPr>
      <w:r w:rsidRPr="0072468F">
        <w:rPr>
          <w:rStyle w:val="FootnoteReference"/>
          <w:rFonts w:asciiTheme="minorHAnsi" w:hAnsiTheme="minorHAnsi" w:cstheme="minorHAnsi"/>
          <w:sz w:val="16"/>
          <w:szCs w:val="16"/>
        </w:rPr>
        <w:footnoteRef/>
      </w:r>
      <w:r w:rsidRPr="0072468F">
        <w:rPr>
          <w:rFonts w:asciiTheme="minorHAnsi" w:hAnsiTheme="minorHAnsi" w:cstheme="minorHAnsi"/>
          <w:sz w:val="16"/>
          <w:szCs w:val="16"/>
        </w:rPr>
        <w:t xml:space="preserve"> Kringen, Uchida, Hock, &amp; Land, forthcoming</w:t>
      </w:r>
      <w:r>
        <w:rPr>
          <w:rFonts w:asciiTheme="minorHAnsi" w:hAnsiTheme="minorHAnsi" w:cstheme="minorHAnsi"/>
          <w:sz w:val="16"/>
          <w:szCs w:val="16"/>
        </w:rPr>
        <w:t>; Taylor, Kubu, Fridell, Rees, Jordan, &amp; Chaney, 2006.</w:t>
      </w:r>
    </w:p>
  </w:footnote>
  <w:footnote w:id="11">
    <w:p w14:paraId="097A4520" w14:textId="77777777" w:rsidR="000821CD" w:rsidRPr="0072468F" w:rsidRDefault="000821CD" w:rsidP="000821CD">
      <w:pPr>
        <w:pStyle w:val="FootnoteText"/>
        <w:rPr>
          <w:rFonts w:asciiTheme="minorHAnsi" w:hAnsiTheme="minorHAnsi" w:cstheme="minorHAnsi"/>
          <w:sz w:val="16"/>
          <w:szCs w:val="16"/>
        </w:rPr>
      </w:pPr>
      <w:r w:rsidRPr="0072468F">
        <w:rPr>
          <w:rStyle w:val="FootnoteReference"/>
          <w:rFonts w:asciiTheme="minorHAnsi" w:hAnsiTheme="minorHAnsi" w:cstheme="minorHAnsi"/>
          <w:sz w:val="16"/>
          <w:szCs w:val="16"/>
        </w:rPr>
        <w:footnoteRef/>
      </w:r>
      <w:r w:rsidRPr="0072468F">
        <w:rPr>
          <w:rFonts w:asciiTheme="minorHAnsi" w:hAnsiTheme="minorHAnsi" w:cstheme="minorHAnsi"/>
          <w:sz w:val="16"/>
          <w:szCs w:val="16"/>
        </w:rPr>
        <w:t xml:space="preserve"> Kringen, 2018</w:t>
      </w:r>
    </w:p>
  </w:footnote>
  <w:footnote w:id="12">
    <w:p w14:paraId="32BA9353" w14:textId="77777777" w:rsidR="000821CD" w:rsidRPr="0072468F" w:rsidRDefault="000821CD" w:rsidP="000821CD">
      <w:pPr>
        <w:pStyle w:val="FootnoteText"/>
        <w:rPr>
          <w:rFonts w:asciiTheme="minorHAnsi" w:hAnsiTheme="minorHAnsi" w:cstheme="minorHAnsi"/>
          <w:sz w:val="16"/>
          <w:szCs w:val="16"/>
        </w:rPr>
      </w:pPr>
      <w:r w:rsidRPr="0072468F">
        <w:rPr>
          <w:rStyle w:val="FootnoteReference"/>
          <w:rFonts w:asciiTheme="minorHAnsi" w:hAnsiTheme="minorHAnsi" w:cstheme="minorHAnsi"/>
          <w:sz w:val="16"/>
          <w:szCs w:val="16"/>
        </w:rPr>
        <w:footnoteRef/>
      </w:r>
      <w:r w:rsidRPr="0072468F">
        <w:rPr>
          <w:rFonts w:asciiTheme="minorHAnsi" w:hAnsiTheme="minorHAnsi" w:cstheme="minorHAnsi"/>
          <w:sz w:val="16"/>
          <w:szCs w:val="16"/>
        </w:rPr>
        <w:t xml:space="preserve"> Linos, 201</w:t>
      </w:r>
      <w:r>
        <w:rPr>
          <w:rFonts w:asciiTheme="minorHAnsi" w:hAnsiTheme="minorHAnsi" w:cstheme="minorHAnsi"/>
          <w:sz w:val="16"/>
          <w:szCs w:val="16"/>
        </w:rPr>
        <w:t>8</w:t>
      </w:r>
    </w:p>
  </w:footnote>
  <w:footnote w:id="13">
    <w:p w14:paraId="3AB2A18F" w14:textId="77777777" w:rsidR="000821CD" w:rsidRPr="0072468F" w:rsidRDefault="000821CD" w:rsidP="000821CD">
      <w:pPr>
        <w:pStyle w:val="FootnoteText"/>
        <w:rPr>
          <w:rFonts w:asciiTheme="minorHAnsi" w:hAnsiTheme="minorHAnsi" w:cstheme="minorHAnsi"/>
          <w:sz w:val="16"/>
          <w:szCs w:val="16"/>
        </w:rPr>
      </w:pPr>
      <w:r w:rsidRPr="0072468F">
        <w:rPr>
          <w:rStyle w:val="FootnoteReference"/>
          <w:rFonts w:asciiTheme="minorHAnsi" w:hAnsiTheme="minorHAnsi" w:cstheme="minorHAnsi"/>
          <w:sz w:val="16"/>
          <w:szCs w:val="16"/>
        </w:rPr>
        <w:footnoteRef/>
      </w:r>
      <w:r w:rsidRPr="0072468F">
        <w:rPr>
          <w:rFonts w:asciiTheme="minorHAnsi" w:hAnsiTheme="minorHAnsi" w:cstheme="minorHAnsi"/>
          <w:sz w:val="16"/>
          <w:szCs w:val="16"/>
        </w:rPr>
        <w:t xml:space="preserve"> Linos, 20</w:t>
      </w:r>
      <w:r>
        <w:rPr>
          <w:rFonts w:asciiTheme="minorHAnsi" w:hAnsiTheme="minorHAnsi" w:cstheme="minorHAnsi"/>
          <w:sz w:val="16"/>
          <w:szCs w:val="16"/>
        </w:rPr>
        <w:t>19</w:t>
      </w:r>
    </w:p>
  </w:footnote>
  <w:footnote w:id="14">
    <w:p w14:paraId="6546E4FF" w14:textId="4C7C4065" w:rsidR="00CE032C" w:rsidRPr="00CE032C" w:rsidRDefault="00CE032C">
      <w:pPr>
        <w:pStyle w:val="FootnoteText"/>
        <w:rPr>
          <w:rFonts w:asciiTheme="minorHAnsi" w:hAnsiTheme="minorHAnsi"/>
          <w:sz w:val="16"/>
          <w:szCs w:val="16"/>
        </w:rPr>
      </w:pPr>
      <w:r w:rsidRPr="00CE032C">
        <w:rPr>
          <w:rStyle w:val="FootnoteReference"/>
          <w:rFonts w:asciiTheme="minorHAnsi" w:hAnsiTheme="minorHAnsi"/>
          <w:sz w:val="16"/>
          <w:szCs w:val="16"/>
        </w:rPr>
        <w:footnoteRef/>
      </w:r>
      <w:r w:rsidRPr="00CE032C">
        <w:rPr>
          <w:rFonts w:asciiTheme="minorHAnsi" w:hAnsiTheme="minorHAnsi"/>
          <w:sz w:val="16"/>
          <w:szCs w:val="16"/>
        </w:rPr>
        <w:t xml:space="preserve"> See PTATF Recruiting and Hiring handout </w:t>
      </w:r>
    </w:p>
  </w:footnote>
  <w:footnote w:id="15">
    <w:p w14:paraId="71ECAC95" w14:textId="77777777" w:rsidR="000821CD" w:rsidRPr="0072468F" w:rsidRDefault="000821CD" w:rsidP="000821CD">
      <w:pPr>
        <w:pStyle w:val="FootnoteText"/>
        <w:rPr>
          <w:rFonts w:asciiTheme="minorHAnsi" w:hAnsiTheme="minorHAnsi" w:cstheme="minorHAnsi"/>
          <w:sz w:val="16"/>
          <w:szCs w:val="16"/>
        </w:rPr>
      </w:pPr>
      <w:r w:rsidRPr="0072468F">
        <w:rPr>
          <w:rStyle w:val="FootnoteReference"/>
          <w:rFonts w:asciiTheme="minorHAnsi" w:hAnsiTheme="minorHAnsi" w:cstheme="minorHAnsi"/>
          <w:sz w:val="16"/>
          <w:szCs w:val="16"/>
        </w:rPr>
        <w:footnoteRef/>
      </w:r>
      <w:r w:rsidRPr="0072468F">
        <w:rPr>
          <w:rFonts w:asciiTheme="minorHAnsi" w:hAnsiTheme="minorHAnsi" w:cstheme="minorHAnsi"/>
          <w:sz w:val="16"/>
          <w:szCs w:val="16"/>
        </w:rPr>
        <w:t xml:space="preserve"> Kringen &amp; Kringen, 2014</w:t>
      </w:r>
      <w:r>
        <w:rPr>
          <w:rFonts w:asciiTheme="minorHAnsi" w:hAnsiTheme="minorHAnsi" w:cstheme="minorHAnsi"/>
          <w:sz w:val="16"/>
          <w:szCs w:val="16"/>
        </w:rPr>
        <w:t>; Kringen et al., forthcoming</w:t>
      </w:r>
    </w:p>
  </w:footnote>
  <w:footnote w:id="16">
    <w:p w14:paraId="1FA5D4D4" w14:textId="77777777" w:rsidR="000821CD" w:rsidRPr="0072468F" w:rsidRDefault="000821CD" w:rsidP="000821CD">
      <w:pPr>
        <w:pStyle w:val="FootnoteText"/>
        <w:rPr>
          <w:rFonts w:asciiTheme="minorHAnsi" w:hAnsiTheme="minorHAnsi" w:cstheme="minorHAnsi"/>
          <w:sz w:val="16"/>
          <w:szCs w:val="16"/>
        </w:rPr>
      </w:pPr>
      <w:r w:rsidRPr="0072468F">
        <w:rPr>
          <w:rStyle w:val="FootnoteReference"/>
          <w:rFonts w:asciiTheme="minorHAnsi" w:hAnsiTheme="minorHAnsi" w:cstheme="minorHAnsi"/>
          <w:sz w:val="16"/>
          <w:szCs w:val="16"/>
        </w:rPr>
        <w:footnoteRef/>
      </w:r>
      <w:r w:rsidRPr="0072468F">
        <w:rPr>
          <w:rFonts w:asciiTheme="minorHAnsi" w:hAnsiTheme="minorHAnsi" w:cstheme="minorHAnsi"/>
          <w:sz w:val="16"/>
          <w:szCs w:val="16"/>
        </w:rPr>
        <w:t xml:space="preserve"> An 80% relative passing rate for a group that composes less than 50% of applicants implies that the majority group passes a higher proportion of individuals. Ergo, more individuals from the majority group enter the training academy than from the minority group.</w:t>
      </w:r>
    </w:p>
  </w:footnote>
  <w:footnote w:id="17">
    <w:p w14:paraId="37E296DE" w14:textId="77777777" w:rsidR="000821CD" w:rsidRPr="0072468F" w:rsidRDefault="000821CD" w:rsidP="000821CD">
      <w:pPr>
        <w:pStyle w:val="FootnoteText"/>
        <w:rPr>
          <w:rFonts w:asciiTheme="minorHAnsi" w:hAnsiTheme="minorHAnsi" w:cstheme="minorHAnsi"/>
          <w:sz w:val="16"/>
          <w:szCs w:val="16"/>
        </w:rPr>
      </w:pPr>
      <w:r w:rsidRPr="0072468F">
        <w:rPr>
          <w:rStyle w:val="FootnoteReference"/>
          <w:rFonts w:asciiTheme="minorHAnsi" w:hAnsiTheme="minorHAnsi" w:cstheme="minorHAnsi"/>
          <w:sz w:val="16"/>
          <w:szCs w:val="16"/>
        </w:rPr>
        <w:footnoteRef/>
      </w:r>
      <w:r w:rsidRPr="0072468F">
        <w:rPr>
          <w:rFonts w:asciiTheme="minorHAnsi" w:hAnsiTheme="minorHAnsi" w:cstheme="minorHAnsi"/>
          <w:sz w:val="16"/>
          <w:szCs w:val="16"/>
        </w:rPr>
        <w:t xml:space="preserve"> </w:t>
      </w:r>
      <w:r w:rsidRPr="005E01B0">
        <w:rPr>
          <w:rFonts w:asciiTheme="minorHAnsi" w:hAnsiTheme="minorHAnsi" w:cstheme="minorHAnsi"/>
          <w:sz w:val="16"/>
          <w:szCs w:val="16"/>
        </w:rPr>
        <w:t>Oregon Department of Public Safety Standards and Training, 2019</w:t>
      </w:r>
    </w:p>
  </w:footnote>
  <w:footnote w:id="18">
    <w:p w14:paraId="0AC291ED" w14:textId="77777777" w:rsidR="000821CD" w:rsidRPr="0072468F" w:rsidRDefault="000821CD" w:rsidP="000821CD">
      <w:pPr>
        <w:pStyle w:val="FootnoteText"/>
        <w:rPr>
          <w:rFonts w:asciiTheme="minorHAnsi" w:hAnsiTheme="minorHAnsi" w:cstheme="minorHAnsi"/>
          <w:sz w:val="16"/>
          <w:szCs w:val="16"/>
        </w:rPr>
      </w:pPr>
      <w:r w:rsidRPr="0072468F">
        <w:rPr>
          <w:rStyle w:val="FootnoteReference"/>
          <w:rFonts w:asciiTheme="minorHAnsi" w:hAnsiTheme="minorHAnsi" w:cstheme="minorHAnsi"/>
          <w:sz w:val="16"/>
          <w:szCs w:val="16"/>
        </w:rPr>
        <w:footnoteRef/>
      </w:r>
      <w:r w:rsidRPr="0072468F">
        <w:rPr>
          <w:rFonts w:asciiTheme="minorHAnsi" w:hAnsiTheme="minorHAnsi" w:cstheme="minorHAnsi"/>
          <w:sz w:val="16"/>
          <w:szCs w:val="16"/>
        </w:rPr>
        <w:t xml:space="preserve"> </w:t>
      </w:r>
      <w:r>
        <w:rPr>
          <w:rFonts w:asciiTheme="minorHAnsi" w:hAnsiTheme="minorHAnsi" w:cstheme="minorHAnsi"/>
          <w:sz w:val="16"/>
          <w:szCs w:val="16"/>
        </w:rPr>
        <w:t xml:space="preserve">Oregon Department of Public Safety Standards and Training, 2019; </w:t>
      </w:r>
      <w:r w:rsidRPr="0072468F">
        <w:rPr>
          <w:rFonts w:asciiTheme="minorHAnsi" w:hAnsiTheme="minorHAnsi" w:cstheme="minorHAnsi"/>
          <w:sz w:val="16"/>
          <w:szCs w:val="16"/>
        </w:rPr>
        <w:t>Pro</w:t>
      </w:r>
      <w:r>
        <w:rPr>
          <w:rFonts w:asciiTheme="minorHAnsi" w:hAnsiTheme="minorHAnsi" w:cstheme="minorHAnsi"/>
          <w:sz w:val="16"/>
          <w:szCs w:val="16"/>
        </w:rPr>
        <w:t>k</w:t>
      </w:r>
      <w:r w:rsidRPr="0072468F">
        <w:rPr>
          <w:rFonts w:asciiTheme="minorHAnsi" w:hAnsiTheme="minorHAnsi" w:cstheme="minorHAnsi"/>
          <w:sz w:val="16"/>
          <w:szCs w:val="16"/>
        </w:rPr>
        <w:t>os &amp; Pav</w:t>
      </w:r>
      <w:r>
        <w:rPr>
          <w:rFonts w:asciiTheme="minorHAnsi" w:hAnsiTheme="minorHAnsi" w:cstheme="minorHAnsi"/>
          <w:sz w:val="16"/>
          <w:szCs w:val="16"/>
        </w:rPr>
        <w:t>a</w:t>
      </w:r>
      <w:r w:rsidRPr="0072468F">
        <w:rPr>
          <w:rFonts w:asciiTheme="minorHAnsi" w:hAnsiTheme="minorHAnsi" w:cstheme="minorHAnsi"/>
          <w:sz w:val="16"/>
          <w:szCs w:val="16"/>
        </w:rPr>
        <w:t xml:space="preserve">dic, </w:t>
      </w:r>
      <w:r>
        <w:rPr>
          <w:rFonts w:asciiTheme="minorHAnsi" w:hAnsiTheme="minorHAnsi" w:cstheme="minorHAnsi"/>
          <w:sz w:val="16"/>
          <w:szCs w:val="16"/>
        </w:rPr>
        <w:t>2002</w:t>
      </w:r>
    </w:p>
  </w:footnote>
  <w:footnote w:id="19">
    <w:p w14:paraId="6564EB51" w14:textId="77777777" w:rsidR="000821CD" w:rsidRPr="0072468F" w:rsidRDefault="000821CD" w:rsidP="000821CD">
      <w:pPr>
        <w:pStyle w:val="FootnoteText"/>
        <w:rPr>
          <w:rFonts w:asciiTheme="minorHAnsi" w:hAnsiTheme="minorHAnsi" w:cstheme="minorHAnsi"/>
          <w:sz w:val="16"/>
          <w:szCs w:val="16"/>
        </w:rPr>
      </w:pPr>
      <w:r w:rsidRPr="0072468F">
        <w:rPr>
          <w:rStyle w:val="FootnoteReference"/>
          <w:rFonts w:asciiTheme="minorHAnsi" w:hAnsiTheme="minorHAnsi" w:cstheme="minorHAnsi"/>
          <w:sz w:val="16"/>
          <w:szCs w:val="16"/>
        </w:rPr>
        <w:footnoteRef/>
      </w:r>
      <w:r w:rsidRPr="0072468F">
        <w:rPr>
          <w:rFonts w:asciiTheme="minorHAnsi" w:hAnsiTheme="minorHAnsi" w:cstheme="minorHAnsi"/>
          <w:sz w:val="16"/>
          <w:szCs w:val="16"/>
        </w:rPr>
        <w:t xml:space="preserve"> </w:t>
      </w:r>
      <w:r>
        <w:rPr>
          <w:rFonts w:asciiTheme="minorHAnsi" w:hAnsiTheme="minorHAnsi" w:cstheme="minorHAnsi"/>
          <w:sz w:val="16"/>
          <w:szCs w:val="16"/>
        </w:rPr>
        <w:t>National Institute of Justice, 2019</w:t>
      </w:r>
    </w:p>
  </w:footnote>
  <w:footnote w:id="20">
    <w:p w14:paraId="6BA4616F" w14:textId="77777777" w:rsidR="000821CD" w:rsidRPr="0072468F" w:rsidRDefault="000821CD" w:rsidP="000821CD">
      <w:pPr>
        <w:pStyle w:val="FootnoteText"/>
        <w:rPr>
          <w:rFonts w:asciiTheme="minorHAnsi" w:hAnsiTheme="minorHAnsi" w:cstheme="minorHAnsi"/>
          <w:sz w:val="16"/>
          <w:szCs w:val="16"/>
        </w:rPr>
      </w:pPr>
      <w:r w:rsidRPr="0072468F">
        <w:rPr>
          <w:rStyle w:val="FootnoteReference"/>
          <w:rFonts w:asciiTheme="minorHAnsi" w:hAnsiTheme="minorHAnsi" w:cstheme="minorHAnsi"/>
          <w:sz w:val="16"/>
          <w:szCs w:val="16"/>
        </w:rPr>
        <w:footnoteRef/>
      </w:r>
      <w:r w:rsidRPr="0072468F">
        <w:rPr>
          <w:rFonts w:asciiTheme="minorHAnsi" w:hAnsiTheme="minorHAnsi" w:cstheme="minorHAnsi"/>
          <w:sz w:val="16"/>
          <w:szCs w:val="16"/>
        </w:rPr>
        <w:t xml:space="preserve"> </w:t>
      </w:r>
      <w:r>
        <w:rPr>
          <w:rFonts w:asciiTheme="minorHAnsi" w:hAnsiTheme="minorHAnsi" w:cstheme="minorHAnsi"/>
          <w:sz w:val="16"/>
          <w:szCs w:val="16"/>
        </w:rPr>
        <w:t>National Institute of Justice, 2019</w:t>
      </w:r>
    </w:p>
  </w:footnote>
  <w:footnote w:id="21">
    <w:p w14:paraId="1C3AC574" w14:textId="77777777" w:rsidR="000821CD" w:rsidRPr="0072468F" w:rsidRDefault="000821CD" w:rsidP="000821CD">
      <w:pPr>
        <w:pStyle w:val="FootnoteText"/>
        <w:rPr>
          <w:rFonts w:asciiTheme="minorHAnsi" w:hAnsiTheme="minorHAnsi" w:cstheme="minorHAnsi"/>
          <w:sz w:val="22"/>
          <w:szCs w:val="22"/>
        </w:rPr>
      </w:pPr>
      <w:r w:rsidRPr="0072468F">
        <w:rPr>
          <w:rStyle w:val="FootnoteReference"/>
          <w:rFonts w:asciiTheme="minorHAnsi" w:hAnsiTheme="minorHAnsi" w:cstheme="minorHAnsi"/>
          <w:sz w:val="16"/>
          <w:szCs w:val="16"/>
        </w:rPr>
        <w:footnoteRef/>
      </w:r>
      <w:r w:rsidRPr="0072468F">
        <w:rPr>
          <w:rFonts w:asciiTheme="minorHAnsi" w:hAnsiTheme="minorHAnsi" w:cstheme="minorHAnsi"/>
          <w:sz w:val="22"/>
          <w:szCs w:val="22"/>
        </w:rPr>
        <w:t xml:space="preserve"> </w:t>
      </w:r>
      <w:r w:rsidRPr="0072468F">
        <w:rPr>
          <w:rFonts w:asciiTheme="minorHAnsi" w:hAnsiTheme="minorHAnsi" w:cstheme="minorHAnsi"/>
          <w:sz w:val="16"/>
          <w:szCs w:val="16"/>
        </w:rPr>
        <w:t>UK Policing Gender Equality Summit,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67A49" w14:textId="7A97C1DC" w:rsidR="00DE775C" w:rsidRDefault="002B62A9" w:rsidP="003F0A55">
    <w:pPr>
      <w:pStyle w:val="Header"/>
      <w:jc w:val="center"/>
      <w:rPr>
        <w:rFonts w:asciiTheme="minorHAnsi" w:hAnsiTheme="minorHAnsi" w:cstheme="minorHAnsi"/>
        <w:b/>
        <w:bCs/>
        <w:sz w:val="28"/>
        <w:szCs w:val="28"/>
      </w:rPr>
    </w:pPr>
    <w:r>
      <w:rPr>
        <w:rFonts w:asciiTheme="minorHAnsi" w:hAnsiTheme="minorHAnsi" w:cstheme="minorHAnsi"/>
        <w:b/>
        <w:bCs/>
        <w:sz w:val="28"/>
        <w:szCs w:val="28"/>
      </w:rPr>
      <w:t xml:space="preserve">Recommendations to Support </w:t>
    </w:r>
    <w:r w:rsidR="00DE775C" w:rsidRPr="00DE775C">
      <w:rPr>
        <w:rFonts w:asciiTheme="minorHAnsi" w:hAnsiTheme="minorHAnsi" w:cstheme="minorHAnsi"/>
        <w:b/>
        <w:bCs/>
        <w:sz w:val="28"/>
        <w:szCs w:val="28"/>
      </w:rPr>
      <w:t>Diversification in Law Enforcement</w:t>
    </w:r>
  </w:p>
  <w:p w14:paraId="29A4427D" w14:textId="3E82C509" w:rsidR="00DE775C" w:rsidRDefault="00DE775C" w:rsidP="00DE775C">
    <w:pPr>
      <w:pStyle w:val="Header"/>
      <w:jc w:val="center"/>
      <w:rPr>
        <w:rFonts w:asciiTheme="minorHAnsi" w:hAnsiTheme="minorHAnsi" w:cstheme="minorHAnsi"/>
        <w:i/>
        <w:iCs/>
      </w:rPr>
    </w:pPr>
    <w:r w:rsidRPr="00DE775C">
      <w:rPr>
        <w:rFonts w:asciiTheme="minorHAnsi" w:hAnsiTheme="minorHAnsi" w:cstheme="minorHAnsi"/>
        <w:i/>
        <w:iCs/>
      </w:rPr>
      <w:t>Police Transparency and Accountability Task Force</w:t>
    </w:r>
  </w:p>
  <w:p w14:paraId="5BECC421" w14:textId="2DD50120" w:rsidR="003F0A55" w:rsidRDefault="001177E7" w:rsidP="00DE775C">
    <w:pPr>
      <w:pStyle w:val="Header"/>
      <w:jc w:val="center"/>
    </w:pPr>
    <w:r>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583029BF" wp14:editId="26012CFD">
              <wp:simplePos x="0" y="0"/>
              <wp:positionH relativeFrom="margin">
                <wp:posOffset>-309880</wp:posOffset>
              </wp:positionH>
              <wp:positionV relativeFrom="paragraph">
                <wp:posOffset>158750</wp:posOffset>
              </wp:positionV>
              <wp:extent cx="6553200" cy="20955"/>
              <wp:effectExtent l="0" t="0" r="19050" b="36195"/>
              <wp:wrapNone/>
              <wp:docPr id="9" name="Straight Connector 9"/>
              <wp:cNvGraphicFramePr/>
              <a:graphic xmlns:a="http://schemas.openxmlformats.org/drawingml/2006/main">
                <a:graphicData uri="http://schemas.microsoft.com/office/word/2010/wordprocessingShape">
                  <wps:wsp>
                    <wps:cNvCnPr/>
                    <wps:spPr>
                      <a:xfrm flipV="1">
                        <a:off x="0" y="0"/>
                        <a:ext cx="6553200" cy="2095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E8D3B4" id="Straight Connector 9"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4pt,12.5pt" to="491.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" strokecolor="black [3200]" strokeweight="1pt">
              <v:stroke joinstyle="miter"/>
              <w10:wrap anchorx="margin"/>
            </v:line>
          </w:pict>
        </mc:Fallback>
      </mc:AlternateContent>
    </w: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48202435" wp14:editId="7838617F">
              <wp:simplePos x="0" y="0"/>
              <wp:positionH relativeFrom="margin">
                <wp:posOffset>-309245</wp:posOffset>
              </wp:positionH>
              <wp:positionV relativeFrom="paragraph">
                <wp:posOffset>92075</wp:posOffset>
              </wp:positionV>
              <wp:extent cx="6553200" cy="20955"/>
              <wp:effectExtent l="19050" t="19050" r="19050" b="36195"/>
              <wp:wrapNone/>
              <wp:docPr id="2" name="Straight Connector 2"/>
              <wp:cNvGraphicFramePr/>
              <a:graphic xmlns:a="http://schemas.openxmlformats.org/drawingml/2006/main">
                <a:graphicData uri="http://schemas.microsoft.com/office/word/2010/wordprocessingShape">
                  <wps:wsp>
                    <wps:cNvCnPr/>
                    <wps:spPr>
                      <a:xfrm flipV="1">
                        <a:off x="0" y="0"/>
                        <a:ext cx="6553200" cy="2095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728B9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35pt,7.25pt" to="491.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" strokecolor="black [3200]" strokeweight="2.25pt">
              <v:stroke joinstyle="miter"/>
              <w10:wrap anchorx="margin"/>
            </v:line>
          </w:pict>
        </mc:Fallback>
      </mc:AlternateContent>
    </w:r>
  </w:p>
  <w:p w14:paraId="4E27EE1B" w14:textId="22A4F844" w:rsidR="003F0A55" w:rsidRDefault="003F0A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D75AD"/>
    <w:multiLevelType w:val="hybridMultilevel"/>
    <w:tmpl w:val="7A78BC64"/>
    <w:lvl w:ilvl="0" w:tplc="2C0C5368">
      <w:start w:val="3"/>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1A6047"/>
    <w:multiLevelType w:val="hybridMultilevel"/>
    <w:tmpl w:val="591019C2"/>
    <w:lvl w:ilvl="0" w:tplc="C936DB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353D0"/>
    <w:multiLevelType w:val="hybridMultilevel"/>
    <w:tmpl w:val="22928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5349E"/>
    <w:multiLevelType w:val="hybridMultilevel"/>
    <w:tmpl w:val="AE90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15BA8"/>
    <w:multiLevelType w:val="hybridMultilevel"/>
    <w:tmpl w:val="4BDA6C32"/>
    <w:lvl w:ilvl="0" w:tplc="2C0C5368">
      <w:start w:val="3"/>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23DE2"/>
    <w:multiLevelType w:val="hybridMultilevel"/>
    <w:tmpl w:val="85826B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FC37E97"/>
    <w:multiLevelType w:val="hybridMultilevel"/>
    <w:tmpl w:val="8142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B2F00"/>
    <w:multiLevelType w:val="hybridMultilevel"/>
    <w:tmpl w:val="ADF2B752"/>
    <w:lvl w:ilvl="0" w:tplc="66DA37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A00AF6"/>
    <w:multiLevelType w:val="hybridMultilevel"/>
    <w:tmpl w:val="3D72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190197"/>
    <w:multiLevelType w:val="hybridMultilevel"/>
    <w:tmpl w:val="E4C27600"/>
    <w:lvl w:ilvl="0" w:tplc="C158E6E8">
      <w:start w:val="1"/>
      <w:numFmt w:val="decimal"/>
      <w:lvlText w:val="(%1)"/>
      <w:lvlJc w:val="left"/>
      <w:pPr>
        <w:ind w:left="720" w:hanging="63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45116A38"/>
    <w:multiLevelType w:val="hybridMultilevel"/>
    <w:tmpl w:val="8D823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5D48F5"/>
    <w:multiLevelType w:val="hybridMultilevel"/>
    <w:tmpl w:val="6656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9938A0"/>
    <w:multiLevelType w:val="hybridMultilevel"/>
    <w:tmpl w:val="14D48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94128E"/>
    <w:multiLevelType w:val="hybridMultilevel"/>
    <w:tmpl w:val="084A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7F0A58"/>
    <w:multiLevelType w:val="hybridMultilevel"/>
    <w:tmpl w:val="205E1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D05CFF"/>
    <w:multiLevelType w:val="hybridMultilevel"/>
    <w:tmpl w:val="F404CA0E"/>
    <w:lvl w:ilvl="0" w:tplc="66DA3730">
      <w:start w:val="1"/>
      <w:numFmt w:val="decimal"/>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694721F6"/>
    <w:multiLevelType w:val="hybridMultilevel"/>
    <w:tmpl w:val="17184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FB21EC"/>
    <w:multiLevelType w:val="hybridMultilevel"/>
    <w:tmpl w:val="D0341976"/>
    <w:lvl w:ilvl="0" w:tplc="642670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8"/>
  </w:num>
  <w:num w:numId="4">
    <w:abstractNumId w:val="4"/>
  </w:num>
  <w:num w:numId="5">
    <w:abstractNumId w:val="0"/>
  </w:num>
  <w:num w:numId="6">
    <w:abstractNumId w:val="12"/>
  </w:num>
  <w:num w:numId="7">
    <w:abstractNumId w:val="7"/>
  </w:num>
  <w:num w:numId="8">
    <w:abstractNumId w:val="15"/>
  </w:num>
  <w:num w:numId="9">
    <w:abstractNumId w:val="9"/>
  </w:num>
  <w:num w:numId="10">
    <w:abstractNumId w:val="3"/>
  </w:num>
  <w:num w:numId="11">
    <w:abstractNumId w:val="11"/>
  </w:num>
  <w:num w:numId="12">
    <w:abstractNumId w:val="5"/>
  </w:num>
  <w:num w:numId="13">
    <w:abstractNumId w:val="14"/>
  </w:num>
  <w:num w:numId="14">
    <w:abstractNumId w:val="2"/>
  </w:num>
  <w:num w:numId="15">
    <w:abstractNumId w:val="6"/>
  </w:num>
  <w:num w:numId="16">
    <w:abstractNumId w:val="13"/>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A55"/>
    <w:rsid w:val="000513F0"/>
    <w:rsid w:val="000767D2"/>
    <w:rsid w:val="000821CD"/>
    <w:rsid w:val="000C1D91"/>
    <w:rsid w:val="000E5979"/>
    <w:rsid w:val="001177E7"/>
    <w:rsid w:val="00124475"/>
    <w:rsid w:val="0014080B"/>
    <w:rsid w:val="00147879"/>
    <w:rsid w:val="00157C3B"/>
    <w:rsid w:val="00196355"/>
    <w:rsid w:val="001B30BE"/>
    <w:rsid w:val="001D44B1"/>
    <w:rsid w:val="001E5D21"/>
    <w:rsid w:val="001F4E38"/>
    <w:rsid w:val="00206796"/>
    <w:rsid w:val="00215894"/>
    <w:rsid w:val="00222845"/>
    <w:rsid w:val="00230544"/>
    <w:rsid w:val="002403AB"/>
    <w:rsid w:val="00287A81"/>
    <w:rsid w:val="002A021F"/>
    <w:rsid w:val="002A12F7"/>
    <w:rsid w:val="002A6BF0"/>
    <w:rsid w:val="002B2A9B"/>
    <w:rsid w:val="002B62A9"/>
    <w:rsid w:val="00340E6E"/>
    <w:rsid w:val="00354700"/>
    <w:rsid w:val="003554CC"/>
    <w:rsid w:val="00356CD8"/>
    <w:rsid w:val="00361EDE"/>
    <w:rsid w:val="0036397F"/>
    <w:rsid w:val="003B79A1"/>
    <w:rsid w:val="003F0A55"/>
    <w:rsid w:val="00414E9A"/>
    <w:rsid w:val="00440242"/>
    <w:rsid w:val="004A41CD"/>
    <w:rsid w:val="004A5692"/>
    <w:rsid w:val="005044CE"/>
    <w:rsid w:val="0050636D"/>
    <w:rsid w:val="005129CC"/>
    <w:rsid w:val="00540FFD"/>
    <w:rsid w:val="00545DF6"/>
    <w:rsid w:val="00570081"/>
    <w:rsid w:val="005A3AC2"/>
    <w:rsid w:val="005A6425"/>
    <w:rsid w:val="005E01B0"/>
    <w:rsid w:val="005E3955"/>
    <w:rsid w:val="005E3B22"/>
    <w:rsid w:val="0062165E"/>
    <w:rsid w:val="00634CD3"/>
    <w:rsid w:val="00646A11"/>
    <w:rsid w:val="0065109F"/>
    <w:rsid w:val="006866DF"/>
    <w:rsid w:val="006C068E"/>
    <w:rsid w:val="006C6B8B"/>
    <w:rsid w:val="006D5D09"/>
    <w:rsid w:val="0072468F"/>
    <w:rsid w:val="00731C76"/>
    <w:rsid w:val="0073731E"/>
    <w:rsid w:val="00742AC3"/>
    <w:rsid w:val="00745432"/>
    <w:rsid w:val="00760FE6"/>
    <w:rsid w:val="007836F9"/>
    <w:rsid w:val="00833A08"/>
    <w:rsid w:val="00835C6F"/>
    <w:rsid w:val="0088446F"/>
    <w:rsid w:val="00904013"/>
    <w:rsid w:val="00952552"/>
    <w:rsid w:val="00993803"/>
    <w:rsid w:val="009B278A"/>
    <w:rsid w:val="009E346B"/>
    <w:rsid w:val="00A70FB4"/>
    <w:rsid w:val="00A92668"/>
    <w:rsid w:val="00AA7D96"/>
    <w:rsid w:val="00AC0207"/>
    <w:rsid w:val="00AE7F44"/>
    <w:rsid w:val="00B07921"/>
    <w:rsid w:val="00B14CF7"/>
    <w:rsid w:val="00B90FC9"/>
    <w:rsid w:val="00BF09C4"/>
    <w:rsid w:val="00C14005"/>
    <w:rsid w:val="00C225AB"/>
    <w:rsid w:val="00C457E9"/>
    <w:rsid w:val="00C50A7F"/>
    <w:rsid w:val="00C72FE1"/>
    <w:rsid w:val="00C7712D"/>
    <w:rsid w:val="00C82646"/>
    <w:rsid w:val="00CA0CD1"/>
    <w:rsid w:val="00CB5E33"/>
    <w:rsid w:val="00CC78A4"/>
    <w:rsid w:val="00CD6118"/>
    <w:rsid w:val="00CE032C"/>
    <w:rsid w:val="00CE16A6"/>
    <w:rsid w:val="00CE270D"/>
    <w:rsid w:val="00D56751"/>
    <w:rsid w:val="00D72B20"/>
    <w:rsid w:val="00D73CB2"/>
    <w:rsid w:val="00D76D8F"/>
    <w:rsid w:val="00DE775C"/>
    <w:rsid w:val="00DF45FC"/>
    <w:rsid w:val="00E45207"/>
    <w:rsid w:val="00E61420"/>
    <w:rsid w:val="00E85B3F"/>
    <w:rsid w:val="00E8704D"/>
    <w:rsid w:val="00ED798B"/>
    <w:rsid w:val="00EE080B"/>
    <w:rsid w:val="00F41B6A"/>
    <w:rsid w:val="00F53FEB"/>
    <w:rsid w:val="00FB1814"/>
    <w:rsid w:val="00FD1714"/>
    <w:rsid w:val="00FD4685"/>
    <w:rsid w:val="00FD62EF"/>
    <w:rsid w:val="00FF1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CDE43"/>
  <w15:chartTrackingRefBased/>
  <w15:docId w15:val="{0DE636D2-DA37-44C2-AC01-3E6C0F44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A55"/>
    <w:pPr>
      <w:ind w:left="720"/>
      <w:contextualSpacing/>
    </w:pPr>
  </w:style>
  <w:style w:type="character" w:styleId="CommentReference">
    <w:name w:val="annotation reference"/>
    <w:basedOn w:val="DefaultParagraphFont"/>
    <w:uiPriority w:val="99"/>
    <w:semiHidden/>
    <w:unhideWhenUsed/>
    <w:rsid w:val="003F0A55"/>
    <w:rPr>
      <w:sz w:val="16"/>
      <w:szCs w:val="16"/>
    </w:rPr>
  </w:style>
  <w:style w:type="paragraph" w:styleId="CommentText">
    <w:name w:val="annotation text"/>
    <w:basedOn w:val="Normal"/>
    <w:link w:val="CommentTextChar"/>
    <w:uiPriority w:val="99"/>
    <w:semiHidden/>
    <w:unhideWhenUsed/>
    <w:rsid w:val="003F0A55"/>
    <w:pPr>
      <w:spacing w:line="240" w:lineRule="auto"/>
    </w:pPr>
    <w:rPr>
      <w:sz w:val="20"/>
      <w:szCs w:val="20"/>
    </w:rPr>
  </w:style>
  <w:style w:type="character" w:customStyle="1" w:styleId="CommentTextChar">
    <w:name w:val="Comment Text Char"/>
    <w:basedOn w:val="DefaultParagraphFont"/>
    <w:link w:val="CommentText"/>
    <w:uiPriority w:val="99"/>
    <w:semiHidden/>
    <w:rsid w:val="003F0A55"/>
    <w:rPr>
      <w:sz w:val="20"/>
      <w:szCs w:val="20"/>
    </w:rPr>
  </w:style>
  <w:style w:type="paragraph" w:styleId="CommentSubject">
    <w:name w:val="annotation subject"/>
    <w:basedOn w:val="CommentText"/>
    <w:next w:val="CommentText"/>
    <w:link w:val="CommentSubjectChar"/>
    <w:uiPriority w:val="99"/>
    <w:semiHidden/>
    <w:unhideWhenUsed/>
    <w:rsid w:val="003F0A55"/>
    <w:rPr>
      <w:b/>
      <w:bCs/>
    </w:rPr>
  </w:style>
  <w:style w:type="character" w:customStyle="1" w:styleId="CommentSubjectChar">
    <w:name w:val="Comment Subject Char"/>
    <w:basedOn w:val="CommentTextChar"/>
    <w:link w:val="CommentSubject"/>
    <w:uiPriority w:val="99"/>
    <w:semiHidden/>
    <w:rsid w:val="003F0A55"/>
    <w:rPr>
      <w:b/>
      <w:bCs/>
      <w:sz w:val="20"/>
      <w:szCs w:val="20"/>
    </w:rPr>
  </w:style>
  <w:style w:type="paragraph" w:styleId="BalloonText">
    <w:name w:val="Balloon Text"/>
    <w:basedOn w:val="Normal"/>
    <w:link w:val="BalloonTextChar"/>
    <w:uiPriority w:val="99"/>
    <w:semiHidden/>
    <w:unhideWhenUsed/>
    <w:rsid w:val="003F0A5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A55"/>
    <w:rPr>
      <w:rFonts w:ascii="Segoe UI" w:hAnsi="Segoe UI" w:cs="Segoe UI"/>
      <w:sz w:val="18"/>
      <w:szCs w:val="18"/>
    </w:rPr>
  </w:style>
  <w:style w:type="paragraph" w:styleId="Header">
    <w:name w:val="header"/>
    <w:basedOn w:val="Normal"/>
    <w:link w:val="HeaderChar"/>
    <w:uiPriority w:val="99"/>
    <w:unhideWhenUsed/>
    <w:rsid w:val="003F0A55"/>
    <w:pPr>
      <w:tabs>
        <w:tab w:val="center" w:pos="4680"/>
        <w:tab w:val="right" w:pos="9360"/>
      </w:tabs>
      <w:spacing w:line="240" w:lineRule="auto"/>
    </w:pPr>
  </w:style>
  <w:style w:type="character" w:customStyle="1" w:styleId="HeaderChar">
    <w:name w:val="Header Char"/>
    <w:basedOn w:val="DefaultParagraphFont"/>
    <w:link w:val="Header"/>
    <w:uiPriority w:val="99"/>
    <w:rsid w:val="003F0A55"/>
  </w:style>
  <w:style w:type="paragraph" w:styleId="Footer">
    <w:name w:val="footer"/>
    <w:basedOn w:val="Normal"/>
    <w:link w:val="FooterChar"/>
    <w:uiPriority w:val="99"/>
    <w:unhideWhenUsed/>
    <w:rsid w:val="003F0A55"/>
    <w:pPr>
      <w:tabs>
        <w:tab w:val="center" w:pos="4680"/>
        <w:tab w:val="right" w:pos="9360"/>
      </w:tabs>
      <w:spacing w:line="240" w:lineRule="auto"/>
    </w:pPr>
  </w:style>
  <w:style w:type="character" w:customStyle="1" w:styleId="FooterChar">
    <w:name w:val="Footer Char"/>
    <w:basedOn w:val="DefaultParagraphFont"/>
    <w:link w:val="Footer"/>
    <w:uiPriority w:val="99"/>
    <w:rsid w:val="003F0A55"/>
  </w:style>
  <w:style w:type="paragraph" w:styleId="FootnoteText">
    <w:name w:val="footnote text"/>
    <w:basedOn w:val="Normal"/>
    <w:link w:val="FootnoteTextChar"/>
    <w:uiPriority w:val="99"/>
    <w:semiHidden/>
    <w:unhideWhenUsed/>
    <w:rsid w:val="00DE775C"/>
    <w:pPr>
      <w:spacing w:line="240" w:lineRule="auto"/>
    </w:pPr>
    <w:rPr>
      <w:sz w:val="20"/>
      <w:szCs w:val="20"/>
    </w:rPr>
  </w:style>
  <w:style w:type="character" w:customStyle="1" w:styleId="FootnoteTextChar">
    <w:name w:val="Footnote Text Char"/>
    <w:basedOn w:val="DefaultParagraphFont"/>
    <w:link w:val="FootnoteText"/>
    <w:uiPriority w:val="99"/>
    <w:semiHidden/>
    <w:rsid w:val="00DE775C"/>
    <w:rPr>
      <w:sz w:val="20"/>
      <w:szCs w:val="20"/>
    </w:rPr>
  </w:style>
  <w:style w:type="character" w:styleId="FootnoteReference">
    <w:name w:val="footnote reference"/>
    <w:basedOn w:val="DefaultParagraphFont"/>
    <w:uiPriority w:val="99"/>
    <w:semiHidden/>
    <w:unhideWhenUsed/>
    <w:rsid w:val="00DE775C"/>
    <w:rPr>
      <w:vertAlign w:val="superscript"/>
    </w:rPr>
  </w:style>
  <w:style w:type="table" w:styleId="TableGrid">
    <w:name w:val="Table Grid"/>
    <w:basedOn w:val="TableNormal"/>
    <w:uiPriority w:val="39"/>
    <w:rsid w:val="00C1400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36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E921A-FAA6-4A79-911A-F1C465324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2152</Words>
  <Characters>12269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Kringen, Anne Li</dc:creator>
  <cp:keywords/>
  <dc:description/>
  <cp:lastModifiedBy>Kringen, Anne Li</cp:lastModifiedBy>
  <cp:revision>3</cp:revision>
  <cp:lastPrinted>2021-08-06T22:24:00Z</cp:lastPrinted>
  <dcterms:created xsi:type="dcterms:W3CDTF">2021-08-22T23:16:00Z</dcterms:created>
  <dcterms:modified xsi:type="dcterms:W3CDTF">2021-08-25T02:45:00Z</dcterms:modified>
</cp:coreProperties>
</file>