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6D628" w14:textId="77777777" w:rsidR="008B143F" w:rsidRDefault="008B143F" w:rsidP="00103DC4">
      <w:pPr>
        <w:sectPr w:rsidR="008B143F" w:rsidSect="00912445">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pPr>
    </w:p>
    <w:p w14:paraId="58C21928" w14:textId="574DDCBC" w:rsidR="003F66A1" w:rsidRPr="00F64DC6" w:rsidRDefault="00502C71" w:rsidP="00C21D5D">
      <w:pPr>
        <w:pStyle w:val="Default"/>
        <w:jc w:val="center"/>
        <w:rPr>
          <w:sz w:val="32"/>
          <w:szCs w:val="32"/>
        </w:rPr>
      </w:pPr>
      <w:r>
        <w:rPr>
          <w:b/>
          <w:bCs/>
          <w:sz w:val="32"/>
          <w:szCs w:val="32"/>
        </w:rPr>
        <w:t>Minutes</w:t>
      </w:r>
    </w:p>
    <w:p w14:paraId="294C092C" w14:textId="6102B4F3" w:rsidR="003F66A1" w:rsidRPr="00F64DC6" w:rsidRDefault="00ED3C25" w:rsidP="003F66A1">
      <w:pPr>
        <w:pStyle w:val="Default"/>
        <w:jc w:val="center"/>
        <w:rPr>
          <w:sz w:val="32"/>
          <w:szCs w:val="32"/>
        </w:rPr>
      </w:pPr>
      <w:r>
        <w:rPr>
          <w:sz w:val="32"/>
          <w:szCs w:val="32"/>
        </w:rPr>
        <w:t>Tuesday</w:t>
      </w:r>
      <w:r w:rsidR="003F66A1" w:rsidRPr="00F64DC6">
        <w:rPr>
          <w:sz w:val="32"/>
          <w:szCs w:val="32"/>
        </w:rPr>
        <w:t xml:space="preserve">, </w:t>
      </w:r>
      <w:r w:rsidR="00445EDE">
        <w:rPr>
          <w:sz w:val="32"/>
          <w:szCs w:val="32"/>
        </w:rPr>
        <w:t>July 20</w:t>
      </w:r>
      <w:r w:rsidR="003F66A1" w:rsidRPr="00F64DC6">
        <w:rPr>
          <w:sz w:val="32"/>
          <w:szCs w:val="32"/>
        </w:rPr>
        <w:t>, 202</w:t>
      </w:r>
      <w:r w:rsidR="004E74FF">
        <w:rPr>
          <w:sz w:val="32"/>
          <w:szCs w:val="32"/>
        </w:rPr>
        <w:t>1</w:t>
      </w:r>
    </w:p>
    <w:p w14:paraId="65089734" w14:textId="6119EF23" w:rsidR="003F66A1" w:rsidRDefault="00445EDE" w:rsidP="003F66A1">
      <w:pPr>
        <w:jc w:val="center"/>
        <w:rPr>
          <w:sz w:val="32"/>
          <w:szCs w:val="32"/>
        </w:rPr>
      </w:pPr>
      <w:r>
        <w:rPr>
          <w:sz w:val="32"/>
          <w:szCs w:val="32"/>
        </w:rPr>
        <w:t>1</w:t>
      </w:r>
      <w:r w:rsidR="003F66A1" w:rsidRPr="00F64DC6">
        <w:rPr>
          <w:sz w:val="32"/>
          <w:szCs w:val="32"/>
        </w:rPr>
        <w:t xml:space="preserve">:00 p.m., via </w:t>
      </w:r>
      <w:r w:rsidR="00493F3F">
        <w:rPr>
          <w:sz w:val="32"/>
          <w:szCs w:val="32"/>
        </w:rPr>
        <w:t>Zoom</w:t>
      </w:r>
    </w:p>
    <w:p w14:paraId="3AF7FF8F" w14:textId="5713F5BA" w:rsidR="00502C71" w:rsidRDefault="00502C71" w:rsidP="003F66A1">
      <w:pPr>
        <w:jc w:val="center"/>
        <w:rPr>
          <w:sz w:val="32"/>
          <w:szCs w:val="32"/>
        </w:rPr>
      </w:pPr>
    </w:p>
    <w:p w14:paraId="33C6C62D" w14:textId="157F636D" w:rsidR="00502C71" w:rsidRPr="00502C71" w:rsidRDefault="00502C71" w:rsidP="003F66A1">
      <w:pPr>
        <w:jc w:val="center"/>
        <w:rPr>
          <w:i/>
          <w:szCs w:val="32"/>
        </w:rPr>
      </w:pPr>
      <w:r>
        <w:rPr>
          <w:i/>
          <w:szCs w:val="32"/>
        </w:rPr>
        <w:t xml:space="preserve">Attendees: Chair Joshua Hall, Ken Barone, Renee </w:t>
      </w:r>
      <w:proofErr w:type="spellStart"/>
      <w:r>
        <w:rPr>
          <w:i/>
          <w:szCs w:val="32"/>
        </w:rPr>
        <w:t>LaMark</w:t>
      </w:r>
      <w:proofErr w:type="spellEnd"/>
      <w:r>
        <w:rPr>
          <w:i/>
          <w:szCs w:val="32"/>
        </w:rPr>
        <w:t xml:space="preserve"> Muir, Andrew Clark, CJ McGuffey, Tanya Hughes, Cheryl Sharp, Steve Saloom, Maureen Lopes, Andrew Brown, John Szewczyk, Makenzie Ozycz, Claudine Fox</w:t>
      </w:r>
    </w:p>
    <w:p w14:paraId="159D84E7" w14:textId="77777777" w:rsidR="003F66A1" w:rsidRDefault="003F66A1" w:rsidP="003F66A1">
      <w:pPr>
        <w:jc w:val="center"/>
        <w:rPr>
          <w:sz w:val="32"/>
          <w:szCs w:val="32"/>
        </w:rPr>
      </w:pPr>
    </w:p>
    <w:p w14:paraId="3CBD703E" w14:textId="4CBF5747" w:rsidR="003F66A1" w:rsidRDefault="007A31C1" w:rsidP="00D009AF">
      <w:pPr>
        <w:pStyle w:val="Default"/>
        <w:numPr>
          <w:ilvl w:val="0"/>
          <w:numId w:val="3"/>
        </w:numPr>
        <w:tabs>
          <w:tab w:val="left" w:pos="2250"/>
        </w:tabs>
        <w:ind w:right="720"/>
      </w:pPr>
      <w:r>
        <w:t>Convene</w:t>
      </w:r>
      <w:r w:rsidR="003F66A1">
        <w:t xml:space="preserve"> </w:t>
      </w:r>
      <w:r>
        <w:t>m</w:t>
      </w:r>
      <w:r w:rsidR="003F66A1">
        <w:t xml:space="preserve">eeting and </w:t>
      </w:r>
      <w:r>
        <w:t>w</w:t>
      </w:r>
      <w:r w:rsidR="003F66A1" w:rsidRPr="001423ED">
        <w:t>elcome</w:t>
      </w:r>
    </w:p>
    <w:p w14:paraId="6384121D" w14:textId="7465A132" w:rsidR="00502C71" w:rsidRPr="006A090E" w:rsidRDefault="00502C71" w:rsidP="00502C71">
      <w:pPr>
        <w:pStyle w:val="Default"/>
        <w:numPr>
          <w:ilvl w:val="1"/>
          <w:numId w:val="3"/>
        </w:numPr>
        <w:tabs>
          <w:tab w:val="left" w:pos="2250"/>
        </w:tabs>
        <w:ind w:right="720"/>
        <w:rPr>
          <w:i/>
        </w:rPr>
      </w:pPr>
      <w:r w:rsidRPr="006A090E">
        <w:rPr>
          <w:i/>
        </w:rPr>
        <w:t xml:space="preserve">Chair Hall convened the meeting at 1:04 pm </w:t>
      </w:r>
    </w:p>
    <w:p w14:paraId="538ADBB6" w14:textId="111BC0A4" w:rsidR="001017A1" w:rsidRDefault="001017A1" w:rsidP="001017A1">
      <w:pPr>
        <w:pStyle w:val="Default"/>
        <w:tabs>
          <w:tab w:val="left" w:pos="2250"/>
        </w:tabs>
        <w:ind w:right="720"/>
      </w:pPr>
    </w:p>
    <w:p w14:paraId="70BA2027" w14:textId="654BD7B3" w:rsidR="001017A1" w:rsidRDefault="001017A1" w:rsidP="001017A1">
      <w:pPr>
        <w:pStyle w:val="Default"/>
        <w:numPr>
          <w:ilvl w:val="0"/>
          <w:numId w:val="3"/>
        </w:numPr>
        <w:tabs>
          <w:tab w:val="left" w:pos="2250"/>
        </w:tabs>
        <w:ind w:right="720"/>
      </w:pPr>
      <w:r>
        <w:t xml:space="preserve">Approve </w:t>
      </w:r>
      <w:r w:rsidR="00445EDE">
        <w:t>June 29</w:t>
      </w:r>
      <w:r w:rsidR="00ED3C25">
        <w:t>, 202</w:t>
      </w:r>
      <w:r w:rsidR="00CC301C">
        <w:t>1</w:t>
      </w:r>
      <w:r>
        <w:t xml:space="preserve"> meeting minutes</w:t>
      </w:r>
    </w:p>
    <w:p w14:paraId="299EE76A" w14:textId="74583851" w:rsidR="00502C71" w:rsidRPr="006A090E" w:rsidRDefault="00502C71" w:rsidP="00502C71">
      <w:pPr>
        <w:pStyle w:val="Default"/>
        <w:numPr>
          <w:ilvl w:val="1"/>
          <w:numId w:val="3"/>
        </w:numPr>
        <w:tabs>
          <w:tab w:val="left" w:pos="2250"/>
        </w:tabs>
        <w:ind w:right="720"/>
        <w:rPr>
          <w:i/>
        </w:rPr>
      </w:pPr>
      <w:r w:rsidRPr="006A090E">
        <w:rPr>
          <w:i/>
        </w:rPr>
        <w:t xml:space="preserve">The minutes from June 29, 2021 were approved via voice note. </w:t>
      </w:r>
    </w:p>
    <w:p w14:paraId="5221C3CC" w14:textId="77777777" w:rsidR="007B6AE3" w:rsidRDefault="007B6AE3" w:rsidP="00B47353"/>
    <w:p w14:paraId="49C56031" w14:textId="77777777" w:rsidR="002C17FA" w:rsidRDefault="002C17FA" w:rsidP="0030064A">
      <w:pPr>
        <w:pStyle w:val="Default"/>
        <w:numPr>
          <w:ilvl w:val="0"/>
          <w:numId w:val="3"/>
        </w:numPr>
        <w:tabs>
          <w:tab w:val="left" w:pos="1620"/>
        </w:tabs>
        <w:ind w:right="720"/>
      </w:pPr>
      <w:r>
        <w:t>Old Business</w:t>
      </w:r>
    </w:p>
    <w:p w14:paraId="34081516" w14:textId="77777777" w:rsidR="002C17FA" w:rsidRDefault="002C17FA" w:rsidP="002C17FA">
      <w:pPr>
        <w:pStyle w:val="ListParagraph"/>
      </w:pPr>
    </w:p>
    <w:p w14:paraId="48FA797F" w14:textId="5C597E30" w:rsidR="007B6AE3" w:rsidRDefault="00772A79" w:rsidP="00064956">
      <w:pPr>
        <w:pStyle w:val="Default"/>
        <w:numPr>
          <w:ilvl w:val="1"/>
          <w:numId w:val="3"/>
        </w:numPr>
        <w:tabs>
          <w:tab w:val="left" w:pos="1620"/>
        </w:tabs>
        <w:ind w:right="720"/>
      </w:pPr>
      <w:r>
        <w:t xml:space="preserve">Primary and Secondary Traffic Stop System </w:t>
      </w:r>
      <w:r w:rsidR="00CB6BD8">
        <w:t>Proposal</w:t>
      </w:r>
      <w:r w:rsidR="001E65D1">
        <w:t xml:space="preserve"> update</w:t>
      </w:r>
      <w:r>
        <w:t xml:space="preserve"> </w:t>
      </w:r>
    </w:p>
    <w:p w14:paraId="704ACDD4" w14:textId="77777777" w:rsidR="00EE50CD" w:rsidRDefault="00EE50CD" w:rsidP="00EE50CD">
      <w:pPr>
        <w:pStyle w:val="Default"/>
        <w:tabs>
          <w:tab w:val="left" w:pos="1620"/>
        </w:tabs>
        <w:ind w:left="1890" w:right="720"/>
      </w:pPr>
    </w:p>
    <w:p w14:paraId="46208C38" w14:textId="06A583CC" w:rsidR="006B1AC1" w:rsidRPr="006A090E" w:rsidRDefault="00502C71" w:rsidP="00502C71">
      <w:pPr>
        <w:pStyle w:val="Default"/>
        <w:tabs>
          <w:tab w:val="left" w:pos="1620"/>
        </w:tabs>
        <w:ind w:left="1890" w:right="720"/>
        <w:rPr>
          <w:i/>
        </w:rPr>
      </w:pPr>
      <w:r w:rsidRPr="006A090E">
        <w:rPr>
          <w:i/>
        </w:rPr>
        <w:t xml:space="preserve">Ken Barone updated the presentation of the proposal to the full Task Force. He updated notes on one specific statute regarding </w:t>
      </w:r>
      <w:r w:rsidR="00EE50CD" w:rsidRPr="006A090E">
        <w:rPr>
          <w:i/>
        </w:rPr>
        <w:t>brak</w:t>
      </w:r>
      <w:r w:rsidR="00EE50CD">
        <w:rPr>
          <w:i/>
        </w:rPr>
        <w:t>e</w:t>
      </w:r>
      <w:r w:rsidR="00EE50CD" w:rsidRPr="006A090E">
        <w:rPr>
          <w:i/>
        </w:rPr>
        <w:t xml:space="preserve"> lights</w:t>
      </w:r>
      <w:r w:rsidRPr="006A090E">
        <w:rPr>
          <w:i/>
        </w:rPr>
        <w:t>. The change made in the proposal was that if one br</w:t>
      </w:r>
      <w:r w:rsidR="00EE50CD">
        <w:rPr>
          <w:i/>
        </w:rPr>
        <w:t>a</w:t>
      </w:r>
      <w:r w:rsidRPr="006A090E">
        <w:rPr>
          <w:i/>
        </w:rPr>
        <w:t>k</w:t>
      </w:r>
      <w:r w:rsidR="00EE50CD">
        <w:rPr>
          <w:i/>
        </w:rPr>
        <w:t>e</w:t>
      </w:r>
      <w:r w:rsidRPr="006A090E">
        <w:rPr>
          <w:i/>
        </w:rPr>
        <w:t xml:space="preserve"> light was working it would be considered a secondary violation.</w:t>
      </w:r>
    </w:p>
    <w:p w14:paraId="2350F59A" w14:textId="77777777" w:rsidR="006B1AC1" w:rsidRPr="006A090E" w:rsidRDefault="006B1AC1" w:rsidP="00502C71">
      <w:pPr>
        <w:pStyle w:val="Default"/>
        <w:tabs>
          <w:tab w:val="left" w:pos="1620"/>
        </w:tabs>
        <w:ind w:left="1890" w:right="720"/>
        <w:rPr>
          <w:i/>
        </w:rPr>
      </w:pPr>
    </w:p>
    <w:p w14:paraId="7AFE0002" w14:textId="6B4F87D7" w:rsidR="00502C71" w:rsidRPr="006A090E" w:rsidRDefault="00502C71" w:rsidP="006B1AC1">
      <w:pPr>
        <w:pStyle w:val="Default"/>
        <w:tabs>
          <w:tab w:val="left" w:pos="1620"/>
        </w:tabs>
        <w:ind w:left="1890" w:right="720"/>
        <w:rPr>
          <w:i/>
        </w:rPr>
      </w:pPr>
      <w:r w:rsidRPr="006A090E">
        <w:rPr>
          <w:i/>
        </w:rPr>
        <w:t xml:space="preserve">Chair Hall shared concern for what that stop might lead to if the officer pulls the driver over. Renee </w:t>
      </w:r>
      <w:proofErr w:type="spellStart"/>
      <w:r w:rsidRPr="006A090E">
        <w:rPr>
          <w:i/>
        </w:rPr>
        <w:t>LaMark</w:t>
      </w:r>
      <w:proofErr w:type="spellEnd"/>
      <w:r w:rsidRPr="006A090E">
        <w:rPr>
          <w:i/>
        </w:rPr>
        <w:t xml:space="preserve"> Muir commented that secondary stops should not be used as probable cause</w:t>
      </w:r>
      <w:r w:rsidR="006B1AC1" w:rsidRPr="006A090E">
        <w:rPr>
          <w:i/>
        </w:rPr>
        <w:t xml:space="preserve"> to further escalate the stop</w:t>
      </w:r>
      <w:r w:rsidRPr="006A090E">
        <w:rPr>
          <w:i/>
        </w:rPr>
        <w:t xml:space="preserve">. </w:t>
      </w:r>
      <w:r w:rsidR="006B1AC1" w:rsidRPr="006A090E">
        <w:rPr>
          <w:i/>
        </w:rPr>
        <w:t xml:space="preserve">Chair Hall questioned what </w:t>
      </w:r>
      <w:r w:rsidR="00EE50CD" w:rsidRPr="006A090E">
        <w:rPr>
          <w:i/>
        </w:rPr>
        <w:t>the next step is</w:t>
      </w:r>
      <w:r w:rsidR="006B1AC1" w:rsidRPr="006A090E">
        <w:rPr>
          <w:i/>
        </w:rPr>
        <w:t xml:space="preserve"> if that holds up the entire recommendation or something that can be amended at Task Force level. </w:t>
      </w:r>
      <w:r w:rsidR="00DA0143" w:rsidRPr="006A090E">
        <w:rPr>
          <w:i/>
        </w:rPr>
        <w:t xml:space="preserve">Ken Barone commented that the proposal could include friendly </w:t>
      </w:r>
      <w:r w:rsidR="006B1AC1" w:rsidRPr="006A090E">
        <w:rPr>
          <w:i/>
        </w:rPr>
        <w:t>amendments;</w:t>
      </w:r>
      <w:r w:rsidR="00DA0143" w:rsidRPr="006A090E">
        <w:rPr>
          <w:i/>
        </w:rPr>
        <w:t xml:space="preserve"> a possible amendment would be to remove or amend the br</w:t>
      </w:r>
      <w:r w:rsidR="00EE50CD">
        <w:rPr>
          <w:i/>
        </w:rPr>
        <w:t>a</w:t>
      </w:r>
      <w:r w:rsidR="00DA0143" w:rsidRPr="006A090E">
        <w:rPr>
          <w:i/>
        </w:rPr>
        <w:t>k</w:t>
      </w:r>
      <w:r w:rsidR="00EE50CD">
        <w:rPr>
          <w:i/>
        </w:rPr>
        <w:t>e</w:t>
      </w:r>
      <w:r w:rsidR="00DA0143" w:rsidRPr="006A090E">
        <w:rPr>
          <w:i/>
        </w:rPr>
        <w:t xml:space="preserve"> light change. Chair Hall motioned to move the proposal to the full task force. </w:t>
      </w:r>
    </w:p>
    <w:p w14:paraId="0700C673" w14:textId="651B3BAA" w:rsidR="002C17FA" w:rsidRDefault="002C17FA" w:rsidP="002C17FA">
      <w:pPr>
        <w:pStyle w:val="Default"/>
        <w:tabs>
          <w:tab w:val="left" w:pos="1620"/>
        </w:tabs>
        <w:ind w:right="720"/>
      </w:pPr>
    </w:p>
    <w:p w14:paraId="60CCCCA3" w14:textId="2BD367ED" w:rsidR="00EE50CD" w:rsidRDefault="00EE50CD" w:rsidP="002C17FA">
      <w:pPr>
        <w:pStyle w:val="Default"/>
        <w:tabs>
          <w:tab w:val="left" w:pos="1620"/>
        </w:tabs>
        <w:ind w:right="720"/>
      </w:pPr>
    </w:p>
    <w:p w14:paraId="799B780D" w14:textId="77777777" w:rsidR="00EE50CD" w:rsidRDefault="00EE50CD" w:rsidP="002C17FA">
      <w:pPr>
        <w:pStyle w:val="Default"/>
        <w:tabs>
          <w:tab w:val="left" w:pos="1620"/>
        </w:tabs>
        <w:ind w:right="720"/>
      </w:pPr>
    </w:p>
    <w:p w14:paraId="277A9241" w14:textId="3236D842" w:rsidR="00445EDE" w:rsidRDefault="00445EDE" w:rsidP="0090205C">
      <w:pPr>
        <w:pStyle w:val="Default"/>
        <w:numPr>
          <w:ilvl w:val="0"/>
          <w:numId w:val="3"/>
        </w:numPr>
        <w:tabs>
          <w:tab w:val="left" w:pos="1620"/>
        </w:tabs>
        <w:ind w:right="720"/>
      </w:pPr>
      <w:r>
        <w:lastRenderedPageBreak/>
        <w:t>New Business</w:t>
      </w:r>
    </w:p>
    <w:p w14:paraId="7D132AF3" w14:textId="77777777" w:rsidR="00445EDE" w:rsidRDefault="00445EDE" w:rsidP="00445EDE">
      <w:pPr>
        <w:pStyle w:val="Default"/>
        <w:tabs>
          <w:tab w:val="left" w:pos="1620"/>
        </w:tabs>
        <w:ind w:left="1530" w:right="720"/>
      </w:pPr>
    </w:p>
    <w:p w14:paraId="2CB87E0C" w14:textId="00C7286B" w:rsidR="00445EDE" w:rsidRDefault="00445EDE" w:rsidP="00445EDE">
      <w:pPr>
        <w:pStyle w:val="Default"/>
        <w:numPr>
          <w:ilvl w:val="1"/>
          <w:numId w:val="3"/>
        </w:numPr>
        <w:tabs>
          <w:tab w:val="left" w:pos="1620"/>
        </w:tabs>
        <w:ind w:right="720"/>
      </w:pPr>
      <w:r>
        <w:t>P.A. 20-1 Section 12, Item 10: Presentation regarding how professional bondsman take into custody a person</w:t>
      </w:r>
    </w:p>
    <w:p w14:paraId="736641A6" w14:textId="77777777" w:rsidR="00EE50CD" w:rsidRDefault="00EE50CD" w:rsidP="00EE50CD">
      <w:pPr>
        <w:pStyle w:val="Default"/>
        <w:tabs>
          <w:tab w:val="left" w:pos="1620"/>
        </w:tabs>
        <w:ind w:left="1890" w:right="720"/>
      </w:pPr>
    </w:p>
    <w:p w14:paraId="2C8D7180" w14:textId="4F823E04" w:rsidR="00DA0143" w:rsidRPr="004C3110" w:rsidRDefault="00DA0143" w:rsidP="00DA0143">
      <w:pPr>
        <w:pStyle w:val="Default"/>
        <w:tabs>
          <w:tab w:val="left" w:pos="1620"/>
        </w:tabs>
        <w:ind w:left="1890" w:right="720"/>
        <w:rPr>
          <w:i/>
        </w:rPr>
      </w:pPr>
      <w:r w:rsidRPr="004C3110">
        <w:rPr>
          <w:i/>
        </w:rPr>
        <w:t xml:space="preserve">Presentation by Renee </w:t>
      </w:r>
      <w:proofErr w:type="spellStart"/>
      <w:r w:rsidRPr="004C3110">
        <w:rPr>
          <w:i/>
        </w:rPr>
        <w:t>LaMark</w:t>
      </w:r>
      <w:proofErr w:type="spellEnd"/>
      <w:r w:rsidRPr="004C3110">
        <w:rPr>
          <w:i/>
        </w:rPr>
        <w:t xml:space="preserve"> Muir on bail fugitive recovery. A quick background was given regarding the bail bond industry, as well as the failure to appear </w:t>
      </w:r>
      <w:r w:rsidR="002E1B61" w:rsidRPr="004C3110">
        <w:rPr>
          <w:i/>
        </w:rPr>
        <w:t>rearrests</w:t>
      </w:r>
      <w:r w:rsidRPr="004C3110">
        <w:rPr>
          <w:i/>
        </w:rPr>
        <w:t xml:space="preserve"> warrant</w:t>
      </w:r>
      <w:r w:rsidR="002E1B61" w:rsidRPr="004C3110">
        <w:rPr>
          <w:i/>
        </w:rPr>
        <w:t xml:space="preserve">. A glance at other states’ laws on fugitive recovery was given, as well as issues regarding fugitive recovery specifically in Connecticut. Some issues specific to Connecticut include bail reforms, </w:t>
      </w:r>
      <w:proofErr w:type="gramStart"/>
      <w:r w:rsidR="002E1B61" w:rsidRPr="004C3110">
        <w:rPr>
          <w:i/>
        </w:rPr>
        <w:t>FTA’s</w:t>
      </w:r>
      <w:proofErr w:type="gramEnd"/>
      <w:r w:rsidR="002E1B61" w:rsidRPr="004C3110">
        <w:rPr>
          <w:i/>
        </w:rPr>
        <w:t xml:space="preserve"> not entered into the state and national database, </w:t>
      </w:r>
      <w:r w:rsidR="00EB10E1" w:rsidRPr="004C3110">
        <w:rPr>
          <w:i/>
        </w:rPr>
        <w:t xml:space="preserve">limited extradition, etc. Other state’s processes were also looked at, including regulation reforms or the erasure of commercial bail, many states were listed having no specific laws at all. The presentation outlined issues in Connecticut with fugitive recovery based on certain bail reform laws that passed 5-6 years ago. </w:t>
      </w:r>
    </w:p>
    <w:p w14:paraId="52920D5F" w14:textId="4817E142" w:rsidR="008B7723" w:rsidRPr="004C3110" w:rsidRDefault="008B7723" w:rsidP="00DA0143">
      <w:pPr>
        <w:pStyle w:val="Default"/>
        <w:tabs>
          <w:tab w:val="left" w:pos="1620"/>
        </w:tabs>
        <w:ind w:left="1890" w:right="720"/>
        <w:rPr>
          <w:i/>
        </w:rPr>
      </w:pPr>
    </w:p>
    <w:p w14:paraId="57298275" w14:textId="1D01BD18" w:rsidR="008B7723" w:rsidRPr="004C3110" w:rsidRDefault="008B7723" w:rsidP="00DA0143">
      <w:pPr>
        <w:pStyle w:val="Default"/>
        <w:tabs>
          <w:tab w:val="left" w:pos="1620"/>
        </w:tabs>
        <w:ind w:left="1890" w:right="720"/>
        <w:rPr>
          <w:b/>
          <w:i/>
        </w:rPr>
      </w:pPr>
      <w:r w:rsidRPr="004C3110">
        <w:rPr>
          <w:i/>
        </w:rPr>
        <w:t xml:space="preserve">Chair Hall questioned how large the industry was versus how it has shrunk. Renee replied that no state agency is taking control of this information, and the judicial branch is currently trying to improve this data. </w:t>
      </w:r>
      <w:r w:rsidR="009E0B48" w:rsidRPr="004C3110">
        <w:rPr>
          <w:i/>
        </w:rPr>
        <w:t xml:space="preserve">Ken Barone recommended to take this presentation and develop it into a document as an assessment of how professional bail bondsmen take fugitives into custody. Next steps include Renee to write up a formal assessment for the group to propose at the August meeting to vote on at that time. </w:t>
      </w:r>
    </w:p>
    <w:p w14:paraId="6CACA4AE" w14:textId="77777777" w:rsidR="00DA0143" w:rsidRDefault="00DA0143" w:rsidP="00DA0143">
      <w:pPr>
        <w:pStyle w:val="Default"/>
        <w:tabs>
          <w:tab w:val="left" w:pos="1620"/>
        </w:tabs>
        <w:ind w:left="1890" w:right="720"/>
      </w:pPr>
    </w:p>
    <w:p w14:paraId="7EB220E6" w14:textId="34F160A9" w:rsidR="00445EDE" w:rsidRDefault="00445EDE" w:rsidP="00445EDE">
      <w:pPr>
        <w:pStyle w:val="Default"/>
        <w:numPr>
          <w:ilvl w:val="1"/>
          <w:numId w:val="3"/>
        </w:numPr>
        <w:tabs>
          <w:tab w:val="left" w:pos="1620"/>
        </w:tabs>
        <w:ind w:right="720"/>
      </w:pPr>
      <w:r>
        <w:t>Development of recommendations regarding departmental policies available online and public census information regarding officers.</w:t>
      </w:r>
    </w:p>
    <w:p w14:paraId="2B16133B" w14:textId="77777777" w:rsidR="00EE50CD" w:rsidRDefault="00EE50CD" w:rsidP="00EE50CD">
      <w:pPr>
        <w:pStyle w:val="Default"/>
        <w:tabs>
          <w:tab w:val="left" w:pos="1620"/>
        </w:tabs>
        <w:ind w:left="1890" w:right="720"/>
      </w:pPr>
    </w:p>
    <w:p w14:paraId="70E23906" w14:textId="76EA7CEF" w:rsidR="004A54CA" w:rsidRDefault="00F06125" w:rsidP="004A54CA">
      <w:pPr>
        <w:pStyle w:val="Default"/>
        <w:tabs>
          <w:tab w:val="left" w:pos="1620"/>
        </w:tabs>
        <w:ind w:left="1890" w:right="720"/>
        <w:rPr>
          <w:i/>
        </w:rPr>
      </w:pPr>
      <w:r w:rsidRPr="004C3110">
        <w:rPr>
          <w:i/>
        </w:rPr>
        <w:t>Ken Barone c</w:t>
      </w:r>
      <w:r w:rsidR="009E0B48" w:rsidRPr="004C3110">
        <w:rPr>
          <w:i/>
        </w:rPr>
        <w:t xml:space="preserve">ommented on the recommendations, including wanting to require police agencies to post certain policies online. Ken recommended that the mandate be that the POST </w:t>
      </w:r>
      <w:r w:rsidR="00EE50CD">
        <w:rPr>
          <w:i/>
        </w:rPr>
        <w:t>Council</w:t>
      </w:r>
      <w:r w:rsidR="009E0B48" w:rsidRPr="004C3110">
        <w:rPr>
          <w:i/>
        </w:rPr>
        <w:t xml:space="preserve"> mandate through the accreditation standards that police departments post certain policies on their website. These policies are up for discussion, seven being identified by Ken Barone that have been used over the years. Ken suggested that this subcommittee make a recommendation to the full Task Force that any model policy passed by the POST council that departments are required to adopt as a base standard </w:t>
      </w:r>
      <w:r w:rsidR="004C3110" w:rsidRPr="004C3110">
        <w:rPr>
          <w:i/>
        </w:rPr>
        <w:t xml:space="preserve">be required to be published on the departments public website, including use of force policy, critical incident and peer support policy, body worn camera policy, police complaint policy, electronic defense weapon policy, the </w:t>
      </w:r>
      <w:r w:rsidR="004C3110" w:rsidRPr="004C3110">
        <w:rPr>
          <w:i/>
        </w:rPr>
        <w:lastRenderedPageBreak/>
        <w:t xml:space="preserve">eye whiteness ID model policy, and the standard pursuit policy. </w:t>
      </w:r>
      <w:r w:rsidR="004C3110">
        <w:rPr>
          <w:i/>
        </w:rPr>
        <w:t xml:space="preserve">CJ McGuffey commented that she can provide additional policies for the rationale. </w:t>
      </w:r>
    </w:p>
    <w:p w14:paraId="08B7334D" w14:textId="7737BE60" w:rsidR="004C3110" w:rsidRDefault="004C3110" w:rsidP="004A54CA">
      <w:pPr>
        <w:pStyle w:val="Default"/>
        <w:tabs>
          <w:tab w:val="left" w:pos="1620"/>
        </w:tabs>
        <w:ind w:left="1890" w:right="720"/>
        <w:rPr>
          <w:i/>
        </w:rPr>
      </w:pPr>
    </w:p>
    <w:p w14:paraId="3465D533" w14:textId="77777777" w:rsidR="004C3110" w:rsidRDefault="004C3110" w:rsidP="004A54CA">
      <w:pPr>
        <w:pStyle w:val="Default"/>
        <w:tabs>
          <w:tab w:val="left" w:pos="1620"/>
        </w:tabs>
        <w:ind w:left="1890" w:right="720"/>
        <w:rPr>
          <w:i/>
        </w:rPr>
      </w:pPr>
      <w:r>
        <w:rPr>
          <w:i/>
        </w:rPr>
        <w:t xml:space="preserve">Ken Barone identified a second priority on census information provided on department’s website. This would require that at least once a year police departments make publicly available census information about their officer force. This would not include individual information, more broad and overall based on demographics on race, gender, and ethnicity, age, and years of service. Renee </w:t>
      </w:r>
      <w:proofErr w:type="spellStart"/>
      <w:r>
        <w:rPr>
          <w:i/>
        </w:rPr>
        <w:t>LaMark</w:t>
      </w:r>
      <w:proofErr w:type="spellEnd"/>
      <w:r>
        <w:rPr>
          <w:i/>
        </w:rPr>
        <w:t xml:space="preserve"> Muir commented that demographics on officers within a community could also be helpful for residency requirements. John Szewczyk asked if there would be running totals year to year. Ken Barone replied that the idea would be to update annually, part of the recommendation could be to maintain a historical record. </w:t>
      </w:r>
    </w:p>
    <w:p w14:paraId="36A18B69" w14:textId="77777777" w:rsidR="004C3110" w:rsidRDefault="004C3110" w:rsidP="004A54CA">
      <w:pPr>
        <w:pStyle w:val="Default"/>
        <w:tabs>
          <w:tab w:val="left" w:pos="1620"/>
        </w:tabs>
        <w:ind w:left="1890" w:right="720"/>
        <w:rPr>
          <w:i/>
        </w:rPr>
      </w:pPr>
    </w:p>
    <w:p w14:paraId="308F6BED" w14:textId="5BE77212" w:rsidR="004C3110" w:rsidRPr="004C3110" w:rsidRDefault="004C3110" w:rsidP="004A54CA">
      <w:pPr>
        <w:pStyle w:val="Default"/>
        <w:tabs>
          <w:tab w:val="left" w:pos="1620"/>
        </w:tabs>
        <w:ind w:left="1890" w:right="720"/>
        <w:rPr>
          <w:i/>
        </w:rPr>
      </w:pPr>
      <w:r>
        <w:rPr>
          <w:i/>
        </w:rPr>
        <w:t>Chair Hall moved to approval for both recommendations to be put on the August agenda. Ken Barone added he will write up the recommendations to present. Chair Hall took a motion to approve the proposals. Motion by John Szewczyk, second by Claudine F</w:t>
      </w:r>
      <w:r w:rsidR="006A090E">
        <w:rPr>
          <w:i/>
        </w:rPr>
        <w:t>ox, all in favor, no opposed</w:t>
      </w:r>
      <w:r>
        <w:rPr>
          <w:i/>
        </w:rPr>
        <w:t xml:space="preserve">, motion passed. </w:t>
      </w:r>
    </w:p>
    <w:p w14:paraId="7BC447CB" w14:textId="77777777" w:rsidR="002E1B61" w:rsidRDefault="002E1B61" w:rsidP="002E1B61">
      <w:pPr>
        <w:pStyle w:val="Default"/>
        <w:tabs>
          <w:tab w:val="left" w:pos="1620"/>
        </w:tabs>
        <w:ind w:left="1890" w:right="720"/>
      </w:pPr>
    </w:p>
    <w:p w14:paraId="31F19DA3" w14:textId="46F7F9CC" w:rsidR="00445EDE" w:rsidRDefault="00445EDE" w:rsidP="00445EDE">
      <w:pPr>
        <w:pStyle w:val="Default"/>
        <w:tabs>
          <w:tab w:val="left" w:pos="1620"/>
        </w:tabs>
        <w:ind w:left="1890" w:right="720"/>
      </w:pPr>
    </w:p>
    <w:p w14:paraId="7ECF9643" w14:textId="5703DBFE" w:rsidR="00F9059B" w:rsidRDefault="00A36EE5" w:rsidP="0090205C">
      <w:pPr>
        <w:pStyle w:val="Default"/>
        <w:numPr>
          <w:ilvl w:val="0"/>
          <w:numId w:val="3"/>
        </w:numPr>
        <w:tabs>
          <w:tab w:val="left" w:pos="1620"/>
        </w:tabs>
        <w:ind w:right="720"/>
      </w:pPr>
      <w:r>
        <w:t>General Discussion</w:t>
      </w:r>
    </w:p>
    <w:p w14:paraId="4A1B84F3" w14:textId="77777777" w:rsidR="0070565C" w:rsidRDefault="0070565C" w:rsidP="0070565C">
      <w:pPr>
        <w:pStyle w:val="Default"/>
        <w:tabs>
          <w:tab w:val="left" w:pos="1620"/>
        </w:tabs>
        <w:ind w:left="1530" w:right="720"/>
      </w:pPr>
    </w:p>
    <w:p w14:paraId="311ECA18" w14:textId="42CC8953" w:rsidR="00F06125" w:rsidRDefault="004C3110" w:rsidP="00F06125">
      <w:pPr>
        <w:pStyle w:val="Default"/>
        <w:numPr>
          <w:ilvl w:val="1"/>
          <w:numId w:val="3"/>
        </w:numPr>
        <w:tabs>
          <w:tab w:val="left" w:pos="1620"/>
        </w:tabs>
        <w:ind w:right="720"/>
      </w:pPr>
      <w:r>
        <w:rPr>
          <w:i/>
        </w:rPr>
        <w:t>There was no general discussion.</w:t>
      </w:r>
    </w:p>
    <w:p w14:paraId="5CD5DDEB" w14:textId="77777777" w:rsidR="007A31C1" w:rsidRDefault="007A31C1" w:rsidP="004E74FF"/>
    <w:p w14:paraId="61FE46F8" w14:textId="315508D3" w:rsidR="00F06125" w:rsidRDefault="007A31C1" w:rsidP="00F06125">
      <w:pPr>
        <w:pStyle w:val="Default"/>
        <w:numPr>
          <w:ilvl w:val="0"/>
          <w:numId w:val="3"/>
        </w:numPr>
        <w:tabs>
          <w:tab w:val="left" w:pos="1620"/>
        </w:tabs>
        <w:ind w:right="720"/>
      </w:pPr>
      <w:r>
        <w:t>Adjournment</w:t>
      </w:r>
    </w:p>
    <w:p w14:paraId="3773D0E4" w14:textId="77777777" w:rsidR="00AD2570" w:rsidRDefault="00AD2570" w:rsidP="00AD2570">
      <w:pPr>
        <w:pStyle w:val="Default"/>
        <w:tabs>
          <w:tab w:val="left" w:pos="1620"/>
        </w:tabs>
        <w:ind w:left="1530" w:right="720"/>
      </w:pPr>
    </w:p>
    <w:p w14:paraId="5554D6D8" w14:textId="26405E78" w:rsidR="00C21D5D" w:rsidRPr="006A090E" w:rsidRDefault="00445EDE" w:rsidP="00C21D5D">
      <w:pPr>
        <w:pStyle w:val="Default"/>
        <w:numPr>
          <w:ilvl w:val="1"/>
          <w:numId w:val="3"/>
        </w:numPr>
        <w:tabs>
          <w:tab w:val="left" w:pos="1620"/>
        </w:tabs>
        <w:ind w:right="720"/>
        <w:rPr>
          <w:i/>
        </w:rPr>
      </w:pPr>
      <w:r w:rsidRPr="006A090E">
        <w:rPr>
          <w:i/>
        </w:rPr>
        <w:t xml:space="preserve">Next </w:t>
      </w:r>
      <w:r w:rsidR="00E84DE5" w:rsidRPr="006A090E">
        <w:rPr>
          <w:i/>
        </w:rPr>
        <w:t>meeting: August 17</w:t>
      </w:r>
      <w:r w:rsidR="00E84DE5" w:rsidRPr="006A090E">
        <w:rPr>
          <w:i/>
          <w:vertAlign w:val="superscript"/>
        </w:rPr>
        <w:t>th</w:t>
      </w:r>
      <w:r w:rsidR="00E84DE5" w:rsidRPr="006A090E">
        <w:rPr>
          <w:i/>
        </w:rPr>
        <w:t xml:space="preserve"> at 1:00 p.m. </w:t>
      </w:r>
    </w:p>
    <w:p w14:paraId="10F93A5D" w14:textId="62398BEC" w:rsidR="00912445" w:rsidRPr="0070565C" w:rsidRDefault="00F06125" w:rsidP="0070565C">
      <w:pPr>
        <w:pStyle w:val="Default"/>
        <w:numPr>
          <w:ilvl w:val="1"/>
          <w:numId w:val="3"/>
        </w:numPr>
        <w:tabs>
          <w:tab w:val="left" w:pos="1620"/>
        </w:tabs>
        <w:ind w:right="720"/>
        <w:rPr>
          <w:i/>
        </w:rPr>
      </w:pPr>
      <w:r w:rsidRPr="006A090E">
        <w:rPr>
          <w:i/>
        </w:rPr>
        <w:t>Chai</w:t>
      </w:r>
      <w:r w:rsidR="006A090E" w:rsidRPr="006A090E">
        <w:rPr>
          <w:i/>
        </w:rPr>
        <w:t>r Hall adjourned the meeting at</w:t>
      </w:r>
      <w:r w:rsidRPr="006A090E">
        <w:rPr>
          <w:i/>
        </w:rPr>
        <w:t xml:space="preserve"> 1:55 pm. </w:t>
      </w:r>
    </w:p>
    <w:sectPr w:rsidR="00912445" w:rsidRPr="0070565C" w:rsidSect="008B143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BC55C" w14:textId="77777777" w:rsidR="00B42C87" w:rsidRDefault="00B42C87" w:rsidP="009F09A6">
      <w:r>
        <w:separator/>
      </w:r>
    </w:p>
  </w:endnote>
  <w:endnote w:type="continuationSeparator" w:id="0">
    <w:p w14:paraId="1907BAD7" w14:textId="77777777" w:rsidR="00B42C87" w:rsidRDefault="00B42C87" w:rsidP="009F0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E802A" w14:textId="77777777" w:rsidR="00822BF9" w:rsidRDefault="00822B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44464" w14:textId="77777777" w:rsidR="00876BD9" w:rsidRPr="00876BD9" w:rsidRDefault="00876BD9" w:rsidP="00876BD9">
    <w:pPr>
      <w:pStyle w:val="Footer"/>
    </w:pPr>
    <w:r>
      <w:rPr>
        <w:rFonts w:ascii="Arial" w:hAnsi="Arial" w:cs="Arial"/>
        <w:color w:val="0000CC"/>
        <w:sz w:val="18"/>
        <w:szCs w:val="18"/>
      </w:rPr>
      <w:t>Room 2500 L.O.B., 300 Capitol Avenue, Hartford, CT 06106-1591</w:t>
    </w:r>
    <w:r w:rsidR="00544C39">
      <w:rPr>
        <w:rFonts w:ascii="Arial" w:hAnsi="Arial" w:cs="Arial"/>
        <w:color w:val="0000CC"/>
        <w:sz w:val="18"/>
        <w:szCs w:val="18"/>
      </w:rPr>
      <w:t xml:space="preserve"> </w:t>
    </w:r>
    <w:r>
      <w:rPr>
        <w:rFonts w:ascii="Arial" w:hAnsi="Arial" w:cs="Arial"/>
        <w:color w:val="0000CC"/>
        <w:sz w:val="18"/>
        <w:szCs w:val="18"/>
      </w:rPr>
      <w:t xml:space="preserve">  ♣</w:t>
    </w:r>
    <w:r w:rsidR="00544C39">
      <w:rPr>
        <w:rFonts w:ascii="Arial" w:hAnsi="Arial" w:cs="Arial"/>
        <w:color w:val="0000CC"/>
        <w:sz w:val="18"/>
        <w:szCs w:val="18"/>
      </w:rPr>
      <w:t xml:space="preserve">  </w:t>
    </w:r>
    <w:r>
      <w:rPr>
        <w:rFonts w:ascii="Arial" w:hAnsi="Arial" w:cs="Arial"/>
        <w:color w:val="0000CC"/>
        <w:sz w:val="18"/>
        <w:szCs w:val="18"/>
      </w:rPr>
      <w:t>Phone 860.240.0530</w:t>
    </w:r>
    <w:r w:rsidR="00544C39">
      <w:rPr>
        <w:rFonts w:ascii="Arial" w:hAnsi="Arial" w:cs="Arial"/>
        <w:color w:val="0000CC"/>
        <w:sz w:val="18"/>
        <w:szCs w:val="18"/>
      </w:rPr>
      <w:t xml:space="preserve">  </w:t>
    </w:r>
    <w:r>
      <w:rPr>
        <w:rFonts w:ascii="Arial" w:hAnsi="Arial" w:cs="Arial"/>
        <w:color w:val="0000CC"/>
        <w:sz w:val="18"/>
        <w:szCs w:val="18"/>
      </w:rPr>
      <w:t xml:space="preserve"> ♣   Fax 860.240.0196</w:t>
    </w:r>
    <w:r w:rsidR="00544C39">
      <w:rPr>
        <w:rFonts w:ascii="Arial" w:hAnsi="Arial" w:cs="Arial"/>
        <w:color w:val="0000CC"/>
        <w:sz w:val="18"/>
        <w:szCs w:val="18"/>
      </w:rPr>
      <w:t xml:space="preserve">   ♣   Judiciary@cga.ct.gov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E12E5" w14:textId="77777777" w:rsidR="00822BF9" w:rsidRDefault="00822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062486" w14:textId="77777777" w:rsidR="00B42C87" w:rsidRDefault="00B42C87" w:rsidP="009F09A6">
      <w:r>
        <w:separator/>
      </w:r>
    </w:p>
  </w:footnote>
  <w:footnote w:type="continuationSeparator" w:id="0">
    <w:p w14:paraId="3988C3AC" w14:textId="77777777" w:rsidR="00B42C87" w:rsidRDefault="00B42C87" w:rsidP="009F0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6F797" w14:textId="77777777" w:rsidR="00822BF9" w:rsidRDefault="00822B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7B27D" w14:textId="77777777" w:rsidR="009F09A6" w:rsidRPr="00CE7FAF" w:rsidRDefault="009F09A6" w:rsidP="009F09A6">
    <w:pPr>
      <w:jc w:val="center"/>
      <w:rPr>
        <w:rFonts w:ascii="Old English Text MT" w:hAnsi="Old English Text MT" w:cs="Arial"/>
        <w:b/>
        <w:color w:val="000080"/>
        <w:sz w:val="36"/>
        <w:szCs w:val="36"/>
      </w:rPr>
    </w:pPr>
    <w:r w:rsidRPr="00CE7FAF">
      <w:rPr>
        <w:rFonts w:ascii="Old English Text MT" w:hAnsi="Old English Text MT" w:cs="Arial"/>
        <w:b/>
        <w:color w:val="000080"/>
        <w:sz w:val="36"/>
        <w:szCs w:val="36"/>
      </w:rPr>
      <w:t>Connecticut</w:t>
    </w:r>
    <w:r w:rsidR="00CE7FAF" w:rsidRPr="00CE7FAF">
      <w:rPr>
        <w:rFonts w:ascii="Old English Text MT" w:hAnsi="Old English Text MT" w:cs="Arial"/>
        <w:b/>
        <w:color w:val="000080"/>
        <w:sz w:val="36"/>
        <w:szCs w:val="36"/>
      </w:rPr>
      <w:t xml:space="preserve"> General Assembly</w:t>
    </w:r>
  </w:p>
  <w:p w14:paraId="25B2E846" w14:textId="77777777" w:rsidR="00822BF9" w:rsidRDefault="001429F5" w:rsidP="009F09A6">
    <w:pPr>
      <w:jc w:val="center"/>
      <w:rPr>
        <w:rFonts w:ascii="Calibri" w:hAnsi="Calibri" w:cs="Tahoma"/>
        <w:b/>
        <w:color w:val="000080"/>
        <w:sz w:val="40"/>
      </w:rPr>
    </w:pPr>
    <w:r>
      <w:rPr>
        <w:rFonts w:ascii="Calibri" w:hAnsi="Calibri" w:cs="Tahoma"/>
        <w:b/>
        <w:color w:val="000080"/>
        <w:sz w:val="40"/>
      </w:rPr>
      <w:t xml:space="preserve">Logistics </w:t>
    </w:r>
  </w:p>
  <w:p w14:paraId="0A87227B" w14:textId="2BA64BB3" w:rsidR="00CE7FAF" w:rsidRPr="00CE7FAF" w:rsidRDefault="001429F5" w:rsidP="009F09A6">
    <w:pPr>
      <w:jc w:val="center"/>
      <w:rPr>
        <w:rFonts w:ascii="Old English Text MT" w:hAnsi="Old English Text MT" w:cs="Arial"/>
        <w:b/>
        <w:color w:val="000080"/>
        <w:szCs w:val="24"/>
      </w:rPr>
    </w:pPr>
    <w:r>
      <w:rPr>
        <w:rFonts w:ascii="Calibri" w:hAnsi="Calibri" w:cs="Tahoma"/>
        <w:b/>
        <w:color w:val="000080"/>
        <w:sz w:val="40"/>
      </w:rPr>
      <w:t>Subcommittee</w:t>
    </w:r>
  </w:p>
  <w:p w14:paraId="7D427D94" w14:textId="77777777" w:rsidR="00CE7FAF" w:rsidRPr="00383668" w:rsidRDefault="00A440B4" w:rsidP="009F09A6">
    <w:pPr>
      <w:jc w:val="center"/>
      <w:rPr>
        <w:rFonts w:ascii="Calibri" w:hAnsi="Calibri" w:cs="Tahoma"/>
        <w:b/>
        <w:color w:val="000080"/>
        <w:sz w:val="40"/>
      </w:rPr>
    </w:pPr>
    <w:r>
      <w:rPr>
        <w:rFonts w:ascii="Calibri" w:hAnsi="Calibri" w:cs="Tahoma"/>
        <w:b/>
        <w:color w:val="000080"/>
        <w:sz w:val="40"/>
      </w:rPr>
      <w:t>Police Transparency &amp; Accountability</w:t>
    </w:r>
    <w:r w:rsidR="00CE7FAF" w:rsidRPr="00383668">
      <w:rPr>
        <w:rFonts w:ascii="Calibri" w:hAnsi="Calibri" w:cs="Tahoma"/>
        <w:b/>
        <w:color w:val="000080"/>
        <w:sz w:val="40"/>
      </w:rPr>
      <w:t xml:space="preserve"> Task Force</w:t>
    </w:r>
  </w:p>
  <w:p w14:paraId="7AD8A01B" w14:textId="77777777" w:rsidR="00CD12F1" w:rsidRPr="00CD12F1" w:rsidRDefault="00CD12F1" w:rsidP="009F09A6">
    <w:pPr>
      <w:pStyle w:val="InsideAddress"/>
      <w:jc w:val="center"/>
      <w:rPr>
        <w:rFonts w:ascii="Arial" w:hAnsi="Arial"/>
        <w:color w:val="000080"/>
        <w:sz w:val="18"/>
        <w:szCs w:val="18"/>
      </w:rPr>
    </w:pPr>
  </w:p>
  <w:tbl>
    <w:tblPr>
      <w:tblW w:w="0" w:type="auto"/>
      <w:tblLook w:val="04A0" w:firstRow="1" w:lastRow="0" w:firstColumn="1" w:lastColumn="0" w:noHBand="0" w:noVBand="1"/>
    </w:tblPr>
    <w:tblGrid>
      <w:gridCol w:w="4159"/>
      <w:gridCol w:w="2698"/>
      <w:gridCol w:w="3943"/>
    </w:tblGrid>
    <w:tr w:rsidR="009F09A6" w:rsidRPr="00327D28" w14:paraId="6834685D" w14:textId="77777777" w:rsidTr="00E80D9F">
      <w:tc>
        <w:tcPr>
          <w:tcW w:w="4518" w:type="dxa"/>
          <w:shd w:val="clear" w:color="auto" w:fill="auto"/>
        </w:tcPr>
        <w:p w14:paraId="63832A10" w14:textId="77777777" w:rsidR="00E80D9F" w:rsidRDefault="00E80D9F" w:rsidP="00E80D9F">
          <w:pPr>
            <w:pStyle w:val="Header"/>
            <w:jc w:val="center"/>
            <w:rPr>
              <w:rFonts w:ascii="Arial" w:hAnsi="Arial" w:cs="Arial"/>
              <w:color w:val="0000CC"/>
              <w:sz w:val="18"/>
              <w:szCs w:val="18"/>
            </w:rPr>
          </w:pPr>
        </w:p>
        <w:p w14:paraId="39F18433" w14:textId="77777777" w:rsidR="00CE7FAF" w:rsidRPr="00E80D9F" w:rsidRDefault="00CE7FAF" w:rsidP="00E80D9F">
          <w:pPr>
            <w:pStyle w:val="Header"/>
            <w:jc w:val="center"/>
            <w:rPr>
              <w:rFonts w:ascii="Arial" w:hAnsi="Arial" w:cs="Arial"/>
              <w:color w:val="0000CC"/>
              <w:sz w:val="18"/>
              <w:szCs w:val="18"/>
            </w:rPr>
          </w:pPr>
        </w:p>
        <w:p w14:paraId="016970F2" w14:textId="080E8E3C" w:rsidR="007C12E7" w:rsidRDefault="001429F5" w:rsidP="007C12E7">
          <w:pPr>
            <w:pStyle w:val="Header"/>
            <w:jc w:val="center"/>
            <w:rPr>
              <w:rFonts w:ascii="Arial" w:hAnsi="Arial" w:cs="Arial"/>
              <w:color w:val="0000CC"/>
              <w:sz w:val="18"/>
              <w:szCs w:val="18"/>
            </w:rPr>
          </w:pPr>
          <w:r>
            <w:rPr>
              <w:rFonts w:ascii="Arial" w:hAnsi="Arial" w:cs="Arial"/>
              <w:color w:val="0000CC"/>
              <w:sz w:val="18"/>
              <w:szCs w:val="18"/>
            </w:rPr>
            <w:t>Rep. Joshua Hall</w:t>
          </w:r>
          <w:r w:rsidR="00A440B4">
            <w:rPr>
              <w:rFonts w:ascii="Arial" w:hAnsi="Arial" w:cs="Arial"/>
              <w:color w:val="0000CC"/>
              <w:sz w:val="18"/>
              <w:szCs w:val="18"/>
            </w:rPr>
            <w:t>, Chairperson</w:t>
          </w:r>
        </w:p>
        <w:p w14:paraId="451EB447" w14:textId="77777777" w:rsidR="00FE037E" w:rsidRPr="00E80D9F" w:rsidRDefault="00FE037E" w:rsidP="00A440B4">
          <w:pPr>
            <w:pStyle w:val="Header"/>
            <w:jc w:val="center"/>
            <w:rPr>
              <w:rFonts w:ascii="Arial" w:hAnsi="Arial" w:cs="Arial"/>
              <w:color w:val="000080"/>
              <w:sz w:val="18"/>
            </w:rPr>
          </w:pPr>
        </w:p>
      </w:tc>
      <w:tc>
        <w:tcPr>
          <w:tcW w:w="2790" w:type="dxa"/>
          <w:shd w:val="clear" w:color="auto" w:fill="auto"/>
        </w:tcPr>
        <w:p w14:paraId="45F6E2C2" w14:textId="77777777" w:rsidR="009F09A6" w:rsidRPr="00327D28" w:rsidRDefault="009F09A6" w:rsidP="00327D28">
          <w:pPr>
            <w:pStyle w:val="Header"/>
            <w:jc w:val="center"/>
            <w:rPr>
              <w:color w:val="0000CC"/>
            </w:rPr>
          </w:pPr>
          <w:r w:rsidRPr="00327D28">
            <w:rPr>
              <w:color w:val="0000CC"/>
            </w:rPr>
            <w:object w:dxaOrig="1725" w:dyaOrig="1410" w14:anchorId="713B65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70.5pt">
                <v:imagedata r:id="rId1" o:title="" gain="2.5" blacklevel="-3932f"/>
              </v:shape>
              <o:OLEObject Type="Embed" ProgID="Word.Picture.8" ShapeID="_x0000_i1025" DrawAspect="Content" ObjectID="_1690614070" r:id="rId2"/>
            </w:object>
          </w:r>
        </w:p>
      </w:tc>
      <w:tc>
        <w:tcPr>
          <w:tcW w:w="4284" w:type="dxa"/>
          <w:shd w:val="clear" w:color="auto" w:fill="auto"/>
        </w:tcPr>
        <w:p w14:paraId="2B65FF0D" w14:textId="77777777" w:rsidR="009F09A6" w:rsidRPr="00E80D9F" w:rsidRDefault="009F09A6" w:rsidP="00327D28">
          <w:pPr>
            <w:pStyle w:val="Header"/>
            <w:jc w:val="center"/>
            <w:rPr>
              <w:rFonts w:ascii="Arial" w:hAnsi="Arial" w:cs="Arial"/>
              <w:color w:val="0000CC"/>
              <w:sz w:val="18"/>
              <w:szCs w:val="18"/>
            </w:rPr>
          </w:pPr>
        </w:p>
        <w:p w14:paraId="02F64FA5" w14:textId="77777777" w:rsidR="00E80D9F" w:rsidRDefault="00CE7FAF" w:rsidP="00327D28">
          <w:pPr>
            <w:pStyle w:val="Header"/>
            <w:jc w:val="center"/>
            <w:rPr>
              <w:rFonts w:ascii="Arial" w:hAnsi="Arial" w:cs="Arial"/>
              <w:color w:val="0000CC"/>
              <w:sz w:val="18"/>
              <w:szCs w:val="18"/>
            </w:rPr>
          </w:pPr>
          <w:r>
            <w:rPr>
              <w:rFonts w:ascii="Arial" w:hAnsi="Arial" w:cs="Arial"/>
              <w:color w:val="0000CC"/>
              <w:sz w:val="18"/>
              <w:szCs w:val="18"/>
            </w:rPr>
            <w:t>c/o Judiciary Committee, Room 2500</w:t>
          </w:r>
        </w:p>
        <w:p w14:paraId="3E5A3014" w14:textId="77777777" w:rsidR="00CE7FAF" w:rsidRDefault="00CE7FAF" w:rsidP="00327D28">
          <w:pPr>
            <w:pStyle w:val="Header"/>
            <w:jc w:val="center"/>
            <w:rPr>
              <w:rFonts w:ascii="Arial" w:hAnsi="Arial" w:cs="Arial"/>
              <w:color w:val="0000CC"/>
              <w:sz w:val="18"/>
              <w:szCs w:val="18"/>
            </w:rPr>
          </w:pPr>
          <w:r>
            <w:rPr>
              <w:rFonts w:ascii="Arial" w:hAnsi="Arial" w:cs="Arial"/>
              <w:color w:val="0000CC"/>
              <w:sz w:val="18"/>
              <w:szCs w:val="18"/>
            </w:rPr>
            <w:t>Legislative Office Building</w:t>
          </w:r>
        </w:p>
        <w:p w14:paraId="24F33F85" w14:textId="77777777" w:rsidR="00CE7FAF" w:rsidRDefault="00CE7FAF" w:rsidP="00327D28">
          <w:pPr>
            <w:pStyle w:val="Header"/>
            <w:jc w:val="center"/>
            <w:rPr>
              <w:rFonts w:ascii="Arial" w:hAnsi="Arial" w:cs="Arial"/>
              <w:color w:val="0000CC"/>
              <w:sz w:val="18"/>
              <w:szCs w:val="18"/>
            </w:rPr>
          </w:pPr>
          <w:r>
            <w:rPr>
              <w:rFonts w:ascii="Arial" w:hAnsi="Arial" w:cs="Arial"/>
              <w:color w:val="0000CC"/>
              <w:sz w:val="18"/>
              <w:szCs w:val="18"/>
            </w:rPr>
            <w:t>300 Capitol Avenue</w:t>
          </w:r>
        </w:p>
        <w:p w14:paraId="22D88A0A" w14:textId="77777777" w:rsidR="00CE7FAF" w:rsidRPr="003629BD" w:rsidRDefault="00CE7FAF" w:rsidP="00327D28">
          <w:pPr>
            <w:pStyle w:val="Header"/>
            <w:jc w:val="center"/>
            <w:rPr>
              <w:i/>
              <w:color w:val="0000CC"/>
              <w:sz w:val="18"/>
              <w:szCs w:val="18"/>
            </w:rPr>
          </w:pPr>
          <w:r>
            <w:rPr>
              <w:rFonts w:ascii="Arial" w:hAnsi="Arial" w:cs="Arial"/>
              <w:color w:val="0000CC"/>
              <w:sz w:val="18"/>
              <w:szCs w:val="18"/>
            </w:rPr>
            <w:t>Hartford, Ct 06106</w:t>
          </w:r>
        </w:p>
      </w:tc>
    </w:tr>
  </w:tbl>
  <w:p w14:paraId="3D94A39C" w14:textId="77777777" w:rsidR="009F09A6" w:rsidRDefault="009F09A6" w:rsidP="009F09A6">
    <w:pPr>
      <w:pStyle w:val="Header"/>
      <w:jc w:val="center"/>
      <w:rPr>
        <w:sz w:val="18"/>
        <w:szCs w:val="18"/>
      </w:rPr>
    </w:pPr>
  </w:p>
  <w:p w14:paraId="0A5559C3" w14:textId="77777777" w:rsidR="00393C8C" w:rsidRPr="00CD12F1" w:rsidRDefault="00393C8C" w:rsidP="009F09A6">
    <w:pPr>
      <w:pStyle w:val="Header"/>
      <w:jc w:val="cent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7D918" w14:textId="77777777" w:rsidR="00822BF9" w:rsidRDefault="00822B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44E9D"/>
    <w:multiLevelType w:val="hybridMultilevel"/>
    <w:tmpl w:val="9CB0AB94"/>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15934DDE"/>
    <w:multiLevelType w:val="hybridMultilevel"/>
    <w:tmpl w:val="9DC4EF90"/>
    <w:lvl w:ilvl="0" w:tplc="B7ACCC48">
      <w:start w:val="1"/>
      <w:numFmt w:val="upperRoman"/>
      <w:lvlText w:val="%1."/>
      <w:lvlJc w:val="left"/>
      <w:pPr>
        <w:ind w:left="1530" w:hanging="720"/>
      </w:pPr>
      <w:rPr>
        <w:rFonts w:hint="default"/>
        <w:b/>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6723CBA"/>
    <w:multiLevelType w:val="hybridMultilevel"/>
    <w:tmpl w:val="D5C442D2"/>
    <w:lvl w:ilvl="0" w:tplc="4CF02CD4">
      <w:start w:val="1"/>
      <w:numFmt w:val="upperRoman"/>
      <w:pStyle w:val="CAOutline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575AF"/>
    <w:multiLevelType w:val="hybridMultilevel"/>
    <w:tmpl w:val="C1F67098"/>
    <w:lvl w:ilvl="0" w:tplc="17F2DE3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B455C"/>
    <w:multiLevelType w:val="hybridMultilevel"/>
    <w:tmpl w:val="390A7F3E"/>
    <w:lvl w:ilvl="0" w:tplc="25CC64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27F"/>
    <w:rsid w:val="00016EF2"/>
    <w:rsid w:val="0004269C"/>
    <w:rsid w:val="00065755"/>
    <w:rsid w:val="000773F9"/>
    <w:rsid w:val="00085893"/>
    <w:rsid w:val="0009027F"/>
    <w:rsid w:val="000B6A29"/>
    <w:rsid w:val="000C7EA7"/>
    <w:rsid w:val="000E76C1"/>
    <w:rsid w:val="001017A1"/>
    <w:rsid w:val="00103DC4"/>
    <w:rsid w:val="001429F5"/>
    <w:rsid w:val="00152844"/>
    <w:rsid w:val="00177E65"/>
    <w:rsid w:val="001E65D1"/>
    <w:rsid w:val="001F3B2A"/>
    <w:rsid w:val="001F5089"/>
    <w:rsid w:val="002067F7"/>
    <w:rsid w:val="00216FA3"/>
    <w:rsid w:val="0025042E"/>
    <w:rsid w:val="00265DF1"/>
    <w:rsid w:val="002775D9"/>
    <w:rsid w:val="002B46A2"/>
    <w:rsid w:val="002C17FA"/>
    <w:rsid w:val="002C2AA1"/>
    <w:rsid w:val="002C4C51"/>
    <w:rsid w:val="002D4ECB"/>
    <w:rsid w:val="002E1B61"/>
    <w:rsid w:val="002F245A"/>
    <w:rsid w:val="0030064A"/>
    <w:rsid w:val="003155E1"/>
    <w:rsid w:val="00327D28"/>
    <w:rsid w:val="003629BD"/>
    <w:rsid w:val="00383668"/>
    <w:rsid w:val="00393C8C"/>
    <w:rsid w:val="003E0B61"/>
    <w:rsid w:val="003F66A1"/>
    <w:rsid w:val="004372B2"/>
    <w:rsid w:val="00445EDE"/>
    <w:rsid w:val="00452ED8"/>
    <w:rsid w:val="00493F3F"/>
    <w:rsid w:val="004A54CA"/>
    <w:rsid w:val="004B577E"/>
    <w:rsid w:val="004B74C8"/>
    <w:rsid w:val="004C3110"/>
    <w:rsid w:val="004C730B"/>
    <w:rsid w:val="004E74FF"/>
    <w:rsid w:val="004F31F5"/>
    <w:rsid w:val="00502C71"/>
    <w:rsid w:val="00505323"/>
    <w:rsid w:val="00544C39"/>
    <w:rsid w:val="00563C29"/>
    <w:rsid w:val="0057568A"/>
    <w:rsid w:val="005868C7"/>
    <w:rsid w:val="005938F0"/>
    <w:rsid w:val="005B1FA5"/>
    <w:rsid w:val="005C04D2"/>
    <w:rsid w:val="005C39A0"/>
    <w:rsid w:val="005C7E80"/>
    <w:rsid w:val="005E4CB6"/>
    <w:rsid w:val="0060090F"/>
    <w:rsid w:val="00625153"/>
    <w:rsid w:val="006A090E"/>
    <w:rsid w:val="006B1AC1"/>
    <w:rsid w:val="006C1848"/>
    <w:rsid w:val="006D0B1D"/>
    <w:rsid w:val="006D61B8"/>
    <w:rsid w:val="006F3F68"/>
    <w:rsid w:val="0070565C"/>
    <w:rsid w:val="0071758F"/>
    <w:rsid w:val="007667B0"/>
    <w:rsid w:val="00772A79"/>
    <w:rsid w:val="007A31C1"/>
    <w:rsid w:val="007B6AE3"/>
    <w:rsid w:val="007C12E7"/>
    <w:rsid w:val="007D52BD"/>
    <w:rsid w:val="00807F86"/>
    <w:rsid w:val="00822BF9"/>
    <w:rsid w:val="00876BD9"/>
    <w:rsid w:val="00883696"/>
    <w:rsid w:val="008B143F"/>
    <w:rsid w:val="008B7723"/>
    <w:rsid w:val="008D4DB1"/>
    <w:rsid w:val="008E2BD4"/>
    <w:rsid w:val="008F2695"/>
    <w:rsid w:val="0090205C"/>
    <w:rsid w:val="00912445"/>
    <w:rsid w:val="00922BAF"/>
    <w:rsid w:val="00933A69"/>
    <w:rsid w:val="00962A2B"/>
    <w:rsid w:val="009C3DAA"/>
    <w:rsid w:val="009E0B48"/>
    <w:rsid w:val="009E291D"/>
    <w:rsid w:val="009F09A6"/>
    <w:rsid w:val="00A167D5"/>
    <w:rsid w:val="00A22A0D"/>
    <w:rsid w:val="00A36EE5"/>
    <w:rsid w:val="00A440B4"/>
    <w:rsid w:val="00A520D7"/>
    <w:rsid w:val="00A64E13"/>
    <w:rsid w:val="00AA0DF2"/>
    <w:rsid w:val="00AA42B7"/>
    <w:rsid w:val="00AB295C"/>
    <w:rsid w:val="00AD2570"/>
    <w:rsid w:val="00B21399"/>
    <w:rsid w:val="00B24D5C"/>
    <w:rsid w:val="00B42C87"/>
    <w:rsid w:val="00B44266"/>
    <w:rsid w:val="00B47353"/>
    <w:rsid w:val="00BB10CF"/>
    <w:rsid w:val="00BE169A"/>
    <w:rsid w:val="00BF7A15"/>
    <w:rsid w:val="00C133E4"/>
    <w:rsid w:val="00C21D5D"/>
    <w:rsid w:val="00C6163A"/>
    <w:rsid w:val="00C661B7"/>
    <w:rsid w:val="00C8535E"/>
    <w:rsid w:val="00C960B5"/>
    <w:rsid w:val="00CB6BD8"/>
    <w:rsid w:val="00CC301C"/>
    <w:rsid w:val="00CD12F1"/>
    <w:rsid w:val="00CE16B1"/>
    <w:rsid w:val="00CE2B54"/>
    <w:rsid w:val="00CE42BE"/>
    <w:rsid w:val="00CE7FAF"/>
    <w:rsid w:val="00D009AF"/>
    <w:rsid w:val="00DA0143"/>
    <w:rsid w:val="00DA2BBE"/>
    <w:rsid w:val="00E563CF"/>
    <w:rsid w:val="00E64F7E"/>
    <w:rsid w:val="00E677B4"/>
    <w:rsid w:val="00E71439"/>
    <w:rsid w:val="00E720E4"/>
    <w:rsid w:val="00E80D9F"/>
    <w:rsid w:val="00E83C7D"/>
    <w:rsid w:val="00E84DE5"/>
    <w:rsid w:val="00EB10E1"/>
    <w:rsid w:val="00ED3C25"/>
    <w:rsid w:val="00EE50CD"/>
    <w:rsid w:val="00EE76BD"/>
    <w:rsid w:val="00F06125"/>
    <w:rsid w:val="00F35AE3"/>
    <w:rsid w:val="00F85808"/>
    <w:rsid w:val="00F9059B"/>
    <w:rsid w:val="00F97FEE"/>
    <w:rsid w:val="00FD24C4"/>
    <w:rsid w:val="00FD6780"/>
    <w:rsid w:val="00FE037E"/>
    <w:rsid w:val="00FE3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3A979"/>
  <w15:chartTrackingRefBased/>
  <w15:docId w15:val="{7E454738-CA9D-4FFA-B4A1-7560D1B6B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6A1"/>
    <w:rPr>
      <w:sz w:val="24"/>
      <w:szCs w:val="22"/>
    </w:rPr>
  </w:style>
  <w:style w:type="paragraph" w:styleId="Heading1">
    <w:name w:val="heading 1"/>
    <w:basedOn w:val="Normal"/>
    <w:next w:val="Normal"/>
    <w:link w:val="Heading1Char"/>
    <w:qFormat/>
    <w:rsid w:val="008F2695"/>
    <w:pPr>
      <w:keepNext/>
      <w:jc w:val="center"/>
      <w:outlineLvl w:val="0"/>
    </w:pPr>
    <w:rPr>
      <w:rFonts w:ascii="Arial" w:eastAsia="Times New Roman" w:hAnsi="Arial"/>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
    <w:name w:val="Inside Address"/>
    <w:basedOn w:val="Normal"/>
    <w:rsid w:val="00152844"/>
    <w:pPr>
      <w:spacing w:line="240" w:lineRule="atLeast"/>
    </w:pPr>
    <w:rPr>
      <w:rFonts w:ascii="Garamond" w:eastAsia="Times New Roman" w:hAnsi="Garamond"/>
      <w:kern w:val="18"/>
      <w:sz w:val="20"/>
      <w:szCs w:val="20"/>
    </w:rPr>
  </w:style>
  <w:style w:type="character" w:customStyle="1" w:styleId="Heading1Char">
    <w:name w:val="Heading 1 Char"/>
    <w:link w:val="Heading1"/>
    <w:rsid w:val="008F2695"/>
    <w:rPr>
      <w:rFonts w:ascii="Arial" w:eastAsia="Times New Roman" w:hAnsi="Arial"/>
      <w:caps/>
      <w:sz w:val="24"/>
    </w:rPr>
  </w:style>
  <w:style w:type="paragraph" w:styleId="Header">
    <w:name w:val="header"/>
    <w:basedOn w:val="Normal"/>
    <w:link w:val="HeaderChar"/>
    <w:uiPriority w:val="99"/>
    <w:unhideWhenUsed/>
    <w:rsid w:val="009F09A6"/>
    <w:pPr>
      <w:tabs>
        <w:tab w:val="center" w:pos="4680"/>
        <w:tab w:val="right" w:pos="9360"/>
      </w:tabs>
    </w:pPr>
  </w:style>
  <w:style w:type="character" w:customStyle="1" w:styleId="HeaderChar">
    <w:name w:val="Header Char"/>
    <w:link w:val="Header"/>
    <w:uiPriority w:val="99"/>
    <w:rsid w:val="009F09A6"/>
    <w:rPr>
      <w:sz w:val="24"/>
      <w:szCs w:val="22"/>
    </w:rPr>
  </w:style>
  <w:style w:type="paragraph" w:styleId="Footer">
    <w:name w:val="footer"/>
    <w:basedOn w:val="Normal"/>
    <w:link w:val="FooterChar"/>
    <w:uiPriority w:val="99"/>
    <w:unhideWhenUsed/>
    <w:rsid w:val="009F09A6"/>
    <w:pPr>
      <w:tabs>
        <w:tab w:val="center" w:pos="4680"/>
        <w:tab w:val="right" w:pos="9360"/>
      </w:tabs>
    </w:pPr>
  </w:style>
  <w:style w:type="character" w:customStyle="1" w:styleId="FooterChar">
    <w:name w:val="Footer Char"/>
    <w:link w:val="Footer"/>
    <w:uiPriority w:val="99"/>
    <w:rsid w:val="009F09A6"/>
    <w:rPr>
      <w:sz w:val="24"/>
      <w:szCs w:val="22"/>
    </w:rPr>
  </w:style>
  <w:style w:type="paragraph" w:styleId="BalloonText">
    <w:name w:val="Balloon Text"/>
    <w:basedOn w:val="Normal"/>
    <w:link w:val="BalloonTextChar"/>
    <w:uiPriority w:val="99"/>
    <w:semiHidden/>
    <w:unhideWhenUsed/>
    <w:rsid w:val="009F09A6"/>
    <w:rPr>
      <w:rFonts w:ascii="Tahoma" w:hAnsi="Tahoma" w:cs="Tahoma"/>
      <w:sz w:val="16"/>
      <w:szCs w:val="16"/>
    </w:rPr>
  </w:style>
  <w:style w:type="character" w:customStyle="1" w:styleId="BalloonTextChar">
    <w:name w:val="Balloon Text Char"/>
    <w:link w:val="BalloonText"/>
    <w:uiPriority w:val="99"/>
    <w:semiHidden/>
    <w:rsid w:val="009F09A6"/>
    <w:rPr>
      <w:rFonts w:ascii="Tahoma" w:hAnsi="Tahoma" w:cs="Tahoma"/>
      <w:sz w:val="16"/>
      <w:szCs w:val="16"/>
    </w:rPr>
  </w:style>
  <w:style w:type="table" w:styleId="TableGrid">
    <w:name w:val="Table Grid"/>
    <w:basedOn w:val="TableNormal"/>
    <w:uiPriority w:val="59"/>
    <w:rsid w:val="009F0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2445"/>
    <w:pPr>
      <w:ind w:left="720"/>
    </w:pPr>
  </w:style>
  <w:style w:type="paragraph" w:customStyle="1" w:styleId="Default">
    <w:name w:val="Default"/>
    <w:rsid w:val="003F66A1"/>
    <w:pPr>
      <w:autoSpaceDE w:val="0"/>
      <w:autoSpaceDN w:val="0"/>
      <w:adjustRightInd w:val="0"/>
    </w:pPr>
    <w:rPr>
      <w:color w:val="000000"/>
      <w:sz w:val="24"/>
      <w:szCs w:val="24"/>
    </w:rPr>
  </w:style>
  <w:style w:type="paragraph" w:customStyle="1" w:styleId="CAOutline1">
    <w:name w:val="CAOutline1"/>
    <w:basedOn w:val="Normal"/>
    <w:qFormat/>
    <w:rsid w:val="00E677B4"/>
    <w:pPr>
      <w:numPr>
        <w:numId w:val="4"/>
      </w:numPr>
      <w:spacing w:before="120" w:after="240"/>
    </w:pPr>
    <w:rPr>
      <w:rFonts w:ascii="Arial" w:eastAsia="Times New Roman" w:hAnsi="Arial"/>
      <w:szCs w:val="20"/>
    </w:rPr>
  </w:style>
  <w:style w:type="character" w:styleId="Hyperlink">
    <w:name w:val="Hyperlink"/>
    <w:basedOn w:val="DefaultParagraphFont"/>
    <w:uiPriority w:val="99"/>
    <w:unhideWhenUsed/>
    <w:rsid w:val="00E677B4"/>
    <w:rPr>
      <w:color w:val="0000FF"/>
      <w:u w:val="single"/>
    </w:rPr>
  </w:style>
  <w:style w:type="character" w:customStyle="1" w:styleId="UnresolvedMention1">
    <w:name w:val="Unresolved Mention1"/>
    <w:basedOn w:val="DefaultParagraphFont"/>
    <w:uiPriority w:val="99"/>
    <w:semiHidden/>
    <w:unhideWhenUsed/>
    <w:rsid w:val="00265DF1"/>
    <w:rPr>
      <w:color w:val="605E5C"/>
      <w:shd w:val="clear" w:color="auto" w:fill="E1DFDD"/>
    </w:rPr>
  </w:style>
  <w:style w:type="character" w:styleId="FollowedHyperlink">
    <w:name w:val="FollowedHyperlink"/>
    <w:basedOn w:val="DefaultParagraphFont"/>
    <w:uiPriority w:val="99"/>
    <w:semiHidden/>
    <w:unhideWhenUsed/>
    <w:rsid w:val="00933A69"/>
    <w:rPr>
      <w:color w:val="954F72" w:themeColor="followedHyperlink"/>
      <w:u w:val="single"/>
    </w:rPr>
  </w:style>
  <w:style w:type="character" w:styleId="Strong">
    <w:name w:val="Strong"/>
    <w:basedOn w:val="DefaultParagraphFont"/>
    <w:uiPriority w:val="22"/>
    <w:qFormat/>
    <w:rsid w:val="00933A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305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Blanchard, Deborah</dc:creator>
  <cp:keywords/>
  <cp:lastModifiedBy>Barone, Kenneth (IMRP)</cp:lastModifiedBy>
  <cp:revision>2</cp:revision>
  <cp:lastPrinted>2019-09-24T12:58:00Z</cp:lastPrinted>
  <dcterms:created xsi:type="dcterms:W3CDTF">2021-08-16T14:15:00Z</dcterms:created>
  <dcterms:modified xsi:type="dcterms:W3CDTF">2021-08-16T14:15:00Z</dcterms:modified>
</cp:coreProperties>
</file>