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5A974" w14:textId="657AB89E" w:rsidR="007E1E83" w:rsidRPr="00E249BE" w:rsidRDefault="0001209A" w:rsidP="007B25D5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OSFI Guideline B-20 </w:t>
      </w:r>
      <w:r w:rsidR="00E249BE">
        <w:rPr>
          <w:rFonts w:ascii="Arial" w:hAnsi="Arial" w:cs="Arial"/>
          <w:b/>
          <w:i/>
          <w:sz w:val="24"/>
        </w:rPr>
        <w:t xml:space="preserve">Disclosure relating to </w:t>
      </w:r>
      <w:r>
        <w:rPr>
          <w:rFonts w:ascii="Arial" w:hAnsi="Arial" w:cs="Arial"/>
          <w:b/>
          <w:i/>
          <w:sz w:val="24"/>
        </w:rPr>
        <w:t xml:space="preserve">the </w:t>
      </w:r>
      <w:r w:rsidR="00E249BE">
        <w:rPr>
          <w:rFonts w:ascii="Arial" w:hAnsi="Arial" w:cs="Arial"/>
          <w:b/>
          <w:i/>
          <w:sz w:val="24"/>
        </w:rPr>
        <w:t>Residential Mortgage</w:t>
      </w:r>
      <w:r>
        <w:rPr>
          <w:rFonts w:ascii="Arial" w:hAnsi="Arial" w:cs="Arial"/>
          <w:b/>
          <w:i/>
          <w:sz w:val="24"/>
        </w:rPr>
        <w:t xml:space="preserve"> Portfolio</w:t>
      </w:r>
      <w:r w:rsidR="00E249BE">
        <w:rPr>
          <w:rFonts w:ascii="Arial" w:hAnsi="Arial" w:cs="Arial"/>
          <w:b/>
          <w:i/>
          <w:sz w:val="24"/>
        </w:rPr>
        <w:t xml:space="preserve"> </w:t>
      </w:r>
    </w:p>
    <w:p w14:paraId="6DA27AFD" w14:textId="77777777" w:rsidR="00E249BE" w:rsidRPr="00E249BE" w:rsidRDefault="00E249BE" w:rsidP="00E249BE">
      <w:pPr>
        <w:pStyle w:val="Header"/>
        <w:tabs>
          <w:tab w:val="clear" w:pos="4320"/>
          <w:tab w:val="clear" w:pos="8640"/>
        </w:tabs>
        <w:spacing w:line="360" w:lineRule="auto"/>
        <w:ind w:left="405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4"/>
        </w:rPr>
        <w:tab/>
      </w:r>
    </w:p>
    <w:p w14:paraId="0D553BEE" w14:textId="77777777" w:rsidR="00356CD1" w:rsidRPr="00356CD1" w:rsidRDefault="00356CD1" w:rsidP="003D6D0D">
      <w:pPr>
        <w:pStyle w:val="Header"/>
        <w:tabs>
          <w:tab w:val="clear" w:pos="4320"/>
          <w:tab w:val="clear" w:pos="8640"/>
        </w:tabs>
        <w:spacing w:line="360" w:lineRule="auto"/>
        <w:ind w:left="1440"/>
        <w:contextualSpacing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Definition of insured and uninsured residential mortgage</w:t>
      </w:r>
    </w:p>
    <w:p w14:paraId="19E8C6A5" w14:textId="77777777" w:rsidR="007E1E83" w:rsidRPr="00D16796" w:rsidRDefault="003D6D0D" w:rsidP="003D6D0D">
      <w:pPr>
        <w:pStyle w:val="Header"/>
        <w:tabs>
          <w:tab w:val="clear" w:pos="4320"/>
          <w:tab w:val="clear" w:pos="8640"/>
        </w:tabs>
        <w:spacing w:line="360" w:lineRule="auto"/>
        <w:ind w:left="1440"/>
        <w:contextualSpacing/>
        <w:rPr>
          <w:rFonts w:ascii="Arial" w:hAnsi="Arial" w:cs="Arial"/>
          <w:sz w:val="24"/>
        </w:rPr>
      </w:pPr>
      <w:r w:rsidRPr="003D6D0D">
        <w:rPr>
          <w:rFonts w:ascii="Arial" w:hAnsi="Arial" w:cs="Arial"/>
          <w:color w:val="000000"/>
        </w:rPr>
        <w:t>A</w:t>
      </w:r>
      <w:r w:rsidR="00356CD1">
        <w:rPr>
          <w:rFonts w:ascii="Arial" w:hAnsi="Arial" w:cs="Arial"/>
          <w:color w:val="000000"/>
        </w:rPr>
        <w:t xml:space="preserve">n insured residential </w:t>
      </w:r>
      <w:r>
        <w:rPr>
          <w:rFonts w:ascii="Arial" w:hAnsi="Arial" w:cs="Arial"/>
          <w:color w:val="000000"/>
        </w:rPr>
        <w:t>mortgage may be defined as a</w:t>
      </w:r>
      <w:r w:rsidR="00356CD1">
        <w:rPr>
          <w:rFonts w:ascii="Arial" w:hAnsi="Arial" w:cs="Arial"/>
          <w:color w:val="000000"/>
        </w:rPr>
        <w:t xml:space="preserve"> mortgage that carries an</w:t>
      </w:r>
      <w:r w:rsidRPr="003D6D0D">
        <w:rPr>
          <w:rFonts w:ascii="Arial" w:hAnsi="Arial" w:cs="Arial"/>
          <w:color w:val="000000"/>
        </w:rPr>
        <w:t xml:space="preserve"> insurance policy that</w:t>
      </w:r>
      <w:r>
        <w:rPr>
          <w:rFonts w:ascii="Arial" w:hAnsi="Arial" w:cs="Arial"/>
          <w:color w:val="000000"/>
        </w:rPr>
        <w:t xml:space="preserve"> would</w:t>
      </w:r>
      <w:r w:rsidRPr="003D6D0D">
        <w:rPr>
          <w:rFonts w:ascii="Arial" w:hAnsi="Arial" w:cs="Arial"/>
          <w:color w:val="000000"/>
        </w:rPr>
        <w:t xml:space="preserve"> protect a lender </w:t>
      </w:r>
      <w:r w:rsidR="00356CD1">
        <w:rPr>
          <w:rFonts w:ascii="Arial" w:hAnsi="Arial" w:cs="Arial"/>
          <w:color w:val="000000"/>
        </w:rPr>
        <w:t>and/</w:t>
      </w:r>
      <w:r w:rsidRPr="003D6D0D">
        <w:rPr>
          <w:rFonts w:ascii="Arial" w:hAnsi="Arial" w:cs="Arial"/>
          <w:color w:val="000000"/>
        </w:rPr>
        <w:t xml:space="preserve">or title holder in the event that the borrower defaults on payments, dies, or is unable to meet the contractual obligations of the mortgage. </w:t>
      </w:r>
      <w:r>
        <w:rPr>
          <w:rFonts w:ascii="Arial" w:hAnsi="Arial" w:cs="Arial"/>
          <w:color w:val="000000"/>
        </w:rPr>
        <w:t xml:space="preserve"> </w:t>
      </w:r>
      <w:r w:rsidR="00356CD1">
        <w:rPr>
          <w:rFonts w:ascii="Arial" w:hAnsi="Arial" w:cs="Arial"/>
          <w:color w:val="000000"/>
        </w:rPr>
        <w:t>A mortgage loan that does not carry appropriate mortgage insurance is deemed to be uninsured.</w:t>
      </w:r>
    </w:p>
    <w:p w14:paraId="12196FBA" w14:textId="77777777" w:rsidR="00596CA2" w:rsidRPr="001C6C4D" w:rsidRDefault="0015512A" w:rsidP="003D6D0D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spacing w:line="360" w:lineRule="auto"/>
        <w:rPr>
          <w:rFonts w:ascii="Arial" w:hAnsi="Arial" w:cs="Arial"/>
        </w:rPr>
      </w:pPr>
      <w:r w:rsidRPr="001C6C4D">
        <w:rPr>
          <w:rFonts w:ascii="Arial" w:hAnsi="Arial" w:cs="Arial"/>
        </w:rPr>
        <w:t>Mortgage loan insurance is required by lenders when homebuyers make a down payment of less than 20% of the purchase price. Mortgage loan insurance helps protect lenders against mortgage default, and enables consumers to purchase homes with a minimum down payment of 5%</w:t>
      </w:r>
      <w:r w:rsidR="001C6C4D" w:rsidRPr="001C6C4D">
        <w:rPr>
          <w:rFonts w:ascii="Arial" w:hAnsi="Arial" w:cs="Arial"/>
        </w:rPr>
        <w:t>.</w:t>
      </w:r>
      <w:r w:rsidR="001C6C4D">
        <w:rPr>
          <w:rFonts w:ascii="Arial" w:hAnsi="Arial" w:cs="Arial"/>
        </w:rPr>
        <w:t xml:space="preserve">  </w:t>
      </w:r>
      <w:r w:rsidR="00596CA2" w:rsidRPr="001C6C4D">
        <w:rPr>
          <w:rFonts w:ascii="Arial" w:hAnsi="Arial" w:cs="Arial"/>
          <w:color w:val="000000"/>
          <w:shd w:val="clear" w:color="auto" w:fill="FFFFFF"/>
        </w:rPr>
        <w:t>Mortgage default insurance is not available for homes with a purchase price of a million dollars or more and/or an amortization of greater than 25 years.</w:t>
      </w:r>
    </w:p>
    <w:p w14:paraId="74DFE67E" w14:textId="77777777" w:rsidR="00596CA2" w:rsidRPr="007F4E7F" w:rsidRDefault="001C6C4D" w:rsidP="003D6D0D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The homebuyer is not required to take out mortgage insurance if he or she is providing a down payment of greater than or equal to 20%. </w:t>
      </w:r>
      <w:r w:rsidR="00596CA2" w:rsidRPr="00E249BE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4C9A6B41" w14:textId="1898FB0F" w:rsidR="007F4E7F" w:rsidRPr="00B64884" w:rsidRDefault="00356CD1" w:rsidP="007F4E7F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contextualSpacing/>
        <w:jc w:val="both"/>
        <w:rPr>
          <w:rFonts w:ascii="Arial" w:hAnsi="Arial" w:cs="Arial"/>
          <w:b/>
        </w:rPr>
      </w:pPr>
      <w:r w:rsidRPr="00B64884">
        <w:rPr>
          <w:rFonts w:ascii="Arial" w:hAnsi="Arial" w:cs="Arial"/>
          <w:b/>
        </w:rPr>
        <w:t>Amount and Percentage of the total residential mortgage loans and HELOC that are insured versus uninsured:</w:t>
      </w:r>
    </w:p>
    <w:p w14:paraId="5B1183A3" w14:textId="77777777" w:rsidR="007F4E7F" w:rsidRDefault="007F4E7F" w:rsidP="007F4E7F">
      <w:pPr>
        <w:pStyle w:val="Header"/>
        <w:tabs>
          <w:tab w:val="clear" w:pos="4320"/>
          <w:tab w:val="clear" w:pos="8640"/>
        </w:tabs>
        <w:ind w:left="1800"/>
        <w:contextualSpacing/>
        <w:jc w:val="both"/>
        <w:rPr>
          <w:rFonts w:ascii="Arial" w:hAnsi="Arial" w:cs="Arial"/>
        </w:rPr>
      </w:pPr>
    </w:p>
    <w:tbl>
      <w:tblPr>
        <w:tblW w:w="9014" w:type="dxa"/>
        <w:tblInd w:w="1616" w:type="dxa"/>
        <w:tblLook w:val="04A0" w:firstRow="1" w:lastRow="0" w:firstColumn="1" w:lastColumn="0" w:noHBand="0" w:noVBand="1"/>
      </w:tblPr>
      <w:tblGrid>
        <w:gridCol w:w="2283"/>
        <w:gridCol w:w="1848"/>
        <w:gridCol w:w="1492"/>
        <w:gridCol w:w="1958"/>
        <w:gridCol w:w="1433"/>
      </w:tblGrid>
      <w:tr w:rsidR="000433A2" w:rsidRPr="000433A2" w14:paraId="28A80F98" w14:textId="77777777" w:rsidTr="000433A2">
        <w:trPr>
          <w:trHeight w:val="3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1B29" w14:textId="77777777" w:rsidR="000433A2" w:rsidRPr="000433A2" w:rsidRDefault="000433A2" w:rsidP="00043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433A2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As </w:t>
            </w:r>
            <w:proofErr w:type="gramStart"/>
            <w:r w:rsidRPr="000433A2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of  30</w:t>
            </w:r>
            <w:proofErr w:type="gramEnd"/>
            <w:r w:rsidRPr="000433A2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Sep 2022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A32D" w14:textId="53F2536B" w:rsidR="000433A2" w:rsidRPr="000433A2" w:rsidRDefault="000433A2" w:rsidP="00043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433A2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Insured 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            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  </w:t>
            </w:r>
            <w:r w:rsidRPr="000433A2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(</w:t>
            </w:r>
            <w:proofErr w:type="gramEnd"/>
            <w:r w:rsidRPr="000433A2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CAD 000)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C06D" w14:textId="77777777" w:rsidR="000433A2" w:rsidRPr="000433A2" w:rsidRDefault="000433A2" w:rsidP="00043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433A2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Percentage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EF96" w14:textId="27034CEE" w:rsidR="000433A2" w:rsidRPr="000433A2" w:rsidRDefault="000433A2" w:rsidP="00043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433A2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Uninsured 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     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  </w:t>
            </w:r>
            <w:r w:rsidRPr="000433A2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(</w:t>
            </w:r>
            <w:proofErr w:type="gramEnd"/>
            <w:r w:rsidRPr="000433A2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CAD 000)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2D19" w14:textId="77777777" w:rsidR="000433A2" w:rsidRPr="000433A2" w:rsidRDefault="000433A2" w:rsidP="00043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433A2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Percentage</w:t>
            </w:r>
          </w:p>
        </w:tc>
      </w:tr>
      <w:tr w:rsidR="000433A2" w:rsidRPr="000433A2" w14:paraId="3C7EA59C" w14:textId="77777777" w:rsidTr="000433A2">
        <w:trPr>
          <w:trHeight w:val="3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0931" w14:textId="77777777" w:rsidR="000433A2" w:rsidRPr="000433A2" w:rsidRDefault="000433A2" w:rsidP="00043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433A2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Residential Mortgages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87DF" w14:textId="77777777" w:rsidR="000433A2" w:rsidRPr="000433A2" w:rsidRDefault="000433A2" w:rsidP="00043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433A2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6581" w14:textId="77777777" w:rsidR="000433A2" w:rsidRPr="000433A2" w:rsidRDefault="000433A2" w:rsidP="00043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433A2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-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EA7D" w14:textId="77777777" w:rsidR="000433A2" w:rsidRPr="000433A2" w:rsidRDefault="000433A2" w:rsidP="00043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433A2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                   24,746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BB71" w14:textId="77777777" w:rsidR="000433A2" w:rsidRPr="000433A2" w:rsidRDefault="000433A2" w:rsidP="00043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433A2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100%</w:t>
            </w:r>
          </w:p>
        </w:tc>
      </w:tr>
      <w:tr w:rsidR="000433A2" w:rsidRPr="000433A2" w14:paraId="734917F9" w14:textId="77777777" w:rsidTr="000433A2">
        <w:trPr>
          <w:trHeight w:val="3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170E" w14:textId="77777777" w:rsidR="000433A2" w:rsidRPr="000433A2" w:rsidRDefault="000433A2" w:rsidP="00043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433A2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HELOCs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5591" w14:textId="77777777" w:rsidR="000433A2" w:rsidRPr="000433A2" w:rsidRDefault="000433A2" w:rsidP="00043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433A2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8195" w14:textId="77777777" w:rsidR="000433A2" w:rsidRPr="000433A2" w:rsidRDefault="000433A2" w:rsidP="00043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433A2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-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E5CD" w14:textId="77777777" w:rsidR="000433A2" w:rsidRPr="000433A2" w:rsidRDefault="000433A2" w:rsidP="00043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433A2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                     2,615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DDE9" w14:textId="77777777" w:rsidR="000433A2" w:rsidRPr="000433A2" w:rsidRDefault="000433A2" w:rsidP="00043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433A2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100%</w:t>
            </w:r>
          </w:p>
        </w:tc>
      </w:tr>
      <w:tr w:rsidR="000433A2" w:rsidRPr="000433A2" w14:paraId="76F0DDB7" w14:textId="77777777" w:rsidTr="000433A2">
        <w:trPr>
          <w:trHeight w:val="3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8D9D" w14:textId="77777777" w:rsidR="000433A2" w:rsidRPr="000433A2" w:rsidRDefault="000433A2" w:rsidP="00043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433A2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Total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9814" w14:textId="77777777" w:rsidR="000433A2" w:rsidRPr="000433A2" w:rsidRDefault="000433A2" w:rsidP="00043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433A2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FB26" w14:textId="77777777" w:rsidR="000433A2" w:rsidRPr="000433A2" w:rsidRDefault="000433A2" w:rsidP="00043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433A2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-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D060" w14:textId="77777777" w:rsidR="000433A2" w:rsidRPr="000433A2" w:rsidRDefault="000433A2" w:rsidP="00043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433A2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                   27,361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B81D" w14:textId="77777777" w:rsidR="000433A2" w:rsidRPr="000433A2" w:rsidRDefault="000433A2" w:rsidP="00043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433A2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N/A</w:t>
            </w:r>
          </w:p>
        </w:tc>
      </w:tr>
    </w:tbl>
    <w:p w14:paraId="49F3FB0D" w14:textId="68D7CD5A" w:rsidR="007F4E7F" w:rsidRDefault="007F4E7F" w:rsidP="007F4E7F">
      <w:pPr>
        <w:pStyle w:val="Header"/>
        <w:tabs>
          <w:tab w:val="clear" w:pos="4320"/>
          <w:tab w:val="clear" w:pos="8640"/>
        </w:tabs>
        <w:ind w:left="1800"/>
        <w:contextualSpacing/>
        <w:jc w:val="both"/>
        <w:rPr>
          <w:rFonts w:ascii="Arial" w:hAnsi="Arial" w:cs="Arial"/>
        </w:rPr>
      </w:pPr>
    </w:p>
    <w:p w14:paraId="2FF2FEB6" w14:textId="77777777" w:rsidR="00FA4AB2" w:rsidRPr="007F4E7F" w:rsidRDefault="00FA4AB2" w:rsidP="007F4E7F">
      <w:pPr>
        <w:pStyle w:val="Header"/>
        <w:tabs>
          <w:tab w:val="clear" w:pos="4320"/>
          <w:tab w:val="clear" w:pos="8640"/>
        </w:tabs>
        <w:ind w:left="1800"/>
        <w:contextualSpacing/>
        <w:jc w:val="both"/>
        <w:rPr>
          <w:rFonts w:ascii="Arial" w:hAnsi="Arial" w:cs="Arial"/>
        </w:rPr>
      </w:pPr>
    </w:p>
    <w:p w14:paraId="18224F8E" w14:textId="364D0591" w:rsidR="00596CA2" w:rsidRPr="007F4E7F" w:rsidRDefault="00596CA2" w:rsidP="007F4E7F">
      <w:pPr>
        <w:pStyle w:val="Header"/>
        <w:tabs>
          <w:tab w:val="clear" w:pos="4320"/>
          <w:tab w:val="clear" w:pos="8640"/>
        </w:tabs>
        <w:spacing w:line="360" w:lineRule="auto"/>
        <w:ind w:left="1800"/>
        <w:jc w:val="both"/>
        <w:rPr>
          <w:rFonts w:ascii="Arial" w:hAnsi="Arial" w:cs="Arial"/>
        </w:rPr>
      </w:pPr>
      <w:r w:rsidRPr="00E249BE">
        <w:rPr>
          <w:rFonts w:ascii="Arial" w:hAnsi="Arial" w:cs="Arial"/>
          <w:color w:val="000000"/>
          <w:shd w:val="clear" w:color="auto" w:fill="FFFFFF"/>
        </w:rPr>
        <w:t>HCB currently does not offer insured mortgages</w:t>
      </w:r>
      <w:r w:rsidR="001C6C4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F4E7F">
        <w:rPr>
          <w:rFonts w:ascii="Arial" w:hAnsi="Arial" w:cs="Arial"/>
          <w:color w:val="000000"/>
          <w:shd w:val="clear" w:color="auto" w:fill="FFFFFF"/>
        </w:rPr>
        <w:t xml:space="preserve">and as such </w:t>
      </w:r>
      <w:r w:rsidRPr="001C6C4D">
        <w:rPr>
          <w:rFonts w:ascii="Arial" w:hAnsi="Arial" w:cs="Arial"/>
          <w:color w:val="000000"/>
          <w:u w:val="single"/>
          <w:shd w:val="clear" w:color="auto" w:fill="FFFFFF"/>
        </w:rPr>
        <w:t>the maximum LTV</w:t>
      </w:r>
      <w:r w:rsidR="001C6C4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249BE">
        <w:rPr>
          <w:rFonts w:ascii="Arial" w:hAnsi="Arial" w:cs="Arial"/>
          <w:color w:val="000000"/>
          <w:shd w:val="clear" w:color="auto" w:fill="FFFFFF"/>
        </w:rPr>
        <w:t xml:space="preserve">(Loan to Value) </w:t>
      </w:r>
      <w:r w:rsidR="007F4E7F">
        <w:rPr>
          <w:rFonts w:ascii="Arial" w:hAnsi="Arial" w:cs="Arial"/>
          <w:color w:val="000000"/>
          <w:shd w:val="clear" w:color="auto" w:fill="FFFFFF"/>
        </w:rPr>
        <w:t>the bank can facilitate for</w:t>
      </w:r>
      <w:r w:rsidRPr="00E249B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F4E7F">
        <w:rPr>
          <w:rFonts w:ascii="Arial" w:hAnsi="Arial" w:cs="Arial"/>
          <w:color w:val="000000"/>
          <w:shd w:val="clear" w:color="auto" w:fill="FFFFFF"/>
        </w:rPr>
        <w:t xml:space="preserve">a residential mortgage loan is 75% and for </w:t>
      </w:r>
      <w:r w:rsidRPr="00E249BE">
        <w:rPr>
          <w:rFonts w:ascii="Arial" w:hAnsi="Arial" w:cs="Arial"/>
          <w:color w:val="000000"/>
          <w:shd w:val="clear" w:color="auto" w:fill="FFFFFF"/>
        </w:rPr>
        <w:t>a ho</w:t>
      </w:r>
      <w:r w:rsidR="007F4E7F">
        <w:rPr>
          <w:rFonts w:ascii="Arial" w:hAnsi="Arial" w:cs="Arial"/>
          <w:color w:val="000000"/>
          <w:shd w:val="clear" w:color="auto" w:fill="FFFFFF"/>
        </w:rPr>
        <w:t xml:space="preserve">me equity line of credit (HELOC), 65%.  Hence, the </w:t>
      </w:r>
      <w:r w:rsidR="007F4E7F" w:rsidRPr="00FA36F6">
        <w:rPr>
          <w:rFonts w:ascii="Arial" w:hAnsi="Arial" w:cs="Arial"/>
          <w:color w:val="000000"/>
          <w:shd w:val="clear" w:color="auto" w:fill="FFFFFF"/>
        </w:rPr>
        <w:t>homebuyer</w:t>
      </w:r>
      <w:r w:rsidR="007F4E7F">
        <w:rPr>
          <w:rFonts w:ascii="Arial" w:hAnsi="Arial" w:cs="Arial"/>
          <w:color w:val="000000"/>
          <w:shd w:val="clear" w:color="auto" w:fill="FFFFFF"/>
        </w:rPr>
        <w:t xml:space="preserve"> is not required to carry out mortgage insurance.</w:t>
      </w:r>
    </w:p>
    <w:p w14:paraId="7752C057" w14:textId="77777777" w:rsidR="00051A6B" w:rsidRDefault="00051A6B" w:rsidP="00935C2E">
      <w:pPr>
        <w:pStyle w:val="Header"/>
        <w:tabs>
          <w:tab w:val="clear" w:pos="4320"/>
          <w:tab w:val="clear" w:pos="8640"/>
        </w:tabs>
        <w:spacing w:line="360" w:lineRule="auto"/>
        <w:ind w:left="1800"/>
        <w:jc w:val="both"/>
        <w:rPr>
          <w:rFonts w:ascii="Arial" w:hAnsi="Arial" w:cs="Arial"/>
          <w:sz w:val="24"/>
        </w:rPr>
      </w:pPr>
    </w:p>
    <w:p w14:paraId="3CA9CDEE" w14:textId="77777777" w:rsidR="007E1E83" w:rsidRDefault="007E1E83" w:rsidP="007F4E7F">
      <w:pPr>
        <w:pStyle w:val="Header"/>
        <w:tabs>
          <w:tab w:val="clear" w:pos="4320"/>
          <w:tab w:val="clear" w:pos="8640"/>
        </w:tabs>
        <w:ind w:left="1800"/>
        <w:contextualSpacing/>
        <w:jc w:val="both"/>
        <w:rPr>
          <w:rFonts w:ascii="Arial" w:hAnsi="Arial" w:cs="Arial"/>
          <w:b/>
        </w:rPr>
      </w:pPr>
      <w:r w:rsidRPr="007F4E7F">
        <w:rPr>
          <w:rFonts w:ascii="Arial" w:hAnsi="Arial" w:cs="Arial"/>
          <w:b/>
        </w:rPr>
        <w:t xml:space="preserve">The lending products secured against the residential property that are offered by </w:t>
      </w:r>
      <w:r w:rsidR="007A79F3">
        <w:rPr>
          <w:rFonts w:ascii="Arial" w:hAnsi="Arial" w:cs="Arial"/>
          <w:b/>
        </w:rPr>
        <w:t>Habib Canadian Bank</w:t>
      </w:r>
      <w:r w:rsidR="00356CD1">
        <w:rPr>
          <w:rFonts w:ascii="Arial" w:hAnsi="Arial" w:cs="Arial"/>
          <w:b/>
        </w:rPr>
        <w:t>:</w:t>
      </w:r>
      <w:r w:rsidRPr="007F4E7F">
        <w:rPr>
          <w:rFonts w:ascii="Arial" w:hAnsi="Arial" w:cs="Arial"/>
          <w:b/>
        </w:rPr>
        <w:t xml:space="preserve"> </w:t>
      </w:r>
    </w:p>
    <w:p w14:paraId="594DF4E8" w14:textId="77777777" w:rsidR="007A79F3" w:rsidRPr="007F4E7F" w:rsidRDefault="007A79F3" w:rsidP="007F4E7F">
      <w:pPr>
        <w:pStyle w:val="Header"/>
        <w:tabs>
          <w:tab w:val="clear" w:pos="4320"/>
          <w:tab w:val="clear" w:pos="8640"/>
        </w:tabs>
        <w:ind w:left="1800"/>
        <w:contextualSpacing/>
        <w:jc w:val="both"/>
        <w:rPr>
          <w:rFonts w:ascii="Arial" w:hAnsi="Arial" w:cs="Arial"/>
          <w:b/>
        </w:rPr>
      </w:pPr>
    </w:p>
    <w:p w14:paraId="1EB95322" w14:textId="77777777" w:rsidR="00051A6B" w:rsidRPr="007F4E7F" w:rsidRDefault="00051A6B" w:rsidP="007F4E7F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spacing w:line="360" w:lineRule="auto"/>
        <w:jc w:val="both"/>
        <w:rPr>
          <w:rFonts w:ascii="Arial" w:hAnsi="Arial" w:cs="Arial"/>
        </w:rPr>
      </w:pPr>
      <w:r w:rsidRPr="007F4E7F">
        <w:rPr>
          <w:rFonts w:ascii="Arial" w:hAnsi="Arial" w:cs="Arial"/>
        </w:rPr>
        <w:t>Open - Variable Rate Residential Mortgage Loans</w:t>
      </w:r>
    </w:p>
    <w:p w14:paraId="46B6F394" w14:textId="77777777" w:rsidR="00051A6B" w:rsidRDefault="00051A6B" w:rsidP="007F4E7F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spacing w:line="360" w:lineRule="auto"/>
        <w:jc w:val="both"/>
        <w:rPr>
          <w:rFonts w:ascii="Arial" w:hAnsi="Arial" w:cs="Arial"/>
        </w:rPr>
      </w:pPr>
      <w:r w:rsidRPr="007F4E7F">
        <w:rPr>
          <w:rFonts w:ascii="Arial" w:hAnsi="Arial" w:cs="Arial"/>
        </w:rPr>
        <w:t>Closed – Variable Rate Residential Mortgage Loans</w:t>
      </w:r>
    </w:p>
    <w:p w14:paraId="73AB3F64" w14:textId="5AEAC396" w:rsidR="007A79F3" w:rsidRPr="007F4E7F" w:rsidRDefault="007A79F3" w:rsidP="007A79F3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spacing w:line="360" w:lineRule="auto"/>
        <w:jc w:val="both"/>
        <w:rPr>
          <w:rFonts w:ascii="Arial" w:hAnsi="Arial" w:cs="Arial"/>
        </w:rPr>
      </w:pPr>
      <w:r w:rsidRPr="007F4E7F">
        <w:rPr>
          <w:rFonts w:ascii="Arial" w:hAnsi="Arial" w:cs="Arial"/>
        </w:rPr>
        <w:t>HELOC (Home Equity Line of Credit)</w:t>
      </w:r>
    </w:p>
    <w:p w14:paraId="0BABDC3D" w14:textId="77777777" w:rsidR="007A79F3" w:rsidRDefault="007A79F3" w:rsidP="007A79F3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 w:cs="Arial"/>
        </w:rPr>
      </w:pPr>
    </w:p>
    <w:p w14:paraId="5B2CBBD8" w14:textId="77777777" w:rsidR="007A79F3" w:rsidRDefault="007A79F3" w:rsidP="007A79F3">
      <w:pPr>
        <w:pStyle w:val="Header"/>
        <w:tabs>
          <w:tab w:val="clear" w:pos="4320"/>
          <w:tab w:val="clear" w:pos="8640"/>
        </w:tabs>
        <w:spacing w:line="360" w:lineRule="auto"/>
        <w:ind w:left="1800"/>
        <w:jc w:val="both"/>
        <w:rPr>
          <w:rFonts w:ascii="Arial" w:hAnsi="Arial" w:cs="Arial"/>
        </w:rPr>
      </w:pPr>
    </w:p>
    <w:p w14:paraId="39D00CDB" w14:textId="77777777" w:rsidR="00090594" w:rsidRDefault="007B25D5" w:rsidP="007B25D5">
      <w:pPr>
        <w:pStyle w:val="Header"/>
        <w:tabs>
          <w:tab w:val="clear" w:pos="4320"/>
          <w:tab w:val="clear" w:pos="8640"/>
        </w:tabs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</w:t>
      </w:r>
    </w:p>
    <w:p w14:paraId="550D8D62" w14:textId="77777777" w:rsidR="00090594" w:rsidRDefault="00090594" w:rsidP="007B25D5">
      <w:pPr>
        <w:pStyle w:val="Header"/>
        <w:tabs>
          <w:tab w:val="clear" w:pos="4320"/>
          <w:tab w:val="clear" w:pos="8640"/>
        </w:tabs>
        <w:contextualSpacing/>
        <w:rPr>
          <w:rFonts w:ascii="Arial" w:hAnsi="Arial" w:cs="Arial"/>
          <w:b/>
        </w:rPr>
      </w:pPr>
    </w:p>
    <w:p w14:paraId="09A692E5" w14:textId="77777777" w:rsidR="00090594" w:rsidRDefault="00090594" w:rsidP="007B25D5">
      <w:pPr>
        <w:pStyle w:val="Header"/>
        <w:tabs>
          <w:tab w:val="clear" w:pos="4320"/>
          <w:tab w:val="clear" w:pos="8640"/>
        </w:tabs>
        <w:contextualSpacing/>
        <w:rPr>
          <w:rFonts w:ascii="Arial" w:hAnsi="Arial" w:cs="Arial"/>
          <w:b/>
        </w:rPr>
      </w:pPr>
    </w:p>
    <w:p w14:paraId="70D5CE42" w14:textId="77777777" w:rsidR="00090594" w:rsidRDefault="00090594" w:rsidP="007B25D5">
      <w:pPr>
        <w:pStyle w:val="Header"/>
        <w:tabs>
          <w:tab w:val="clear" w:pos="4320"/>
          <w:tab w:val="clear" w:pos="8640"/>
        </w:tabs>
        <w:contextualSpacing/>
        <w:rPr>
          <w:rFonts w:ascii="Arial" w:hAnsi="Arial" w:cs="Arial"/>
          <w:b/>
        </w:rPr>
      </w:pPr>
    </w:p>
    <w:p w14:paraId="0DDE89B6" w14:textId="468B2C8E" w:rsidR="007B25D5" w:rsidRDefault="00090594" w:rsidP="007B25D5">
      <w:pPr>
        <w:pStyle w:val="Header"/>
        <w:tabs>
          <w:tab w:val="clear" w:pos="4320"/>
          <w:tab w:val="clear" w:pos="8640"/>
        </w:tabs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</w:t>
      </w:r>
      <w:r w:rsidR="007E1E83" w:rsidRPr="006A71D5">
        <w:rPr>
          <w:rFonts w:ascii="Arial" w:hAnsi="Arial" w:cs="Arial"/>
          <w:b/>
        </w:rPr>
        <w:t xml:space="preserve">The percentage of residential mortgage </w:t>
      </w:r>
      <w:r w:rsidR="007A79F3" w:rsidRPr="006A71D5">
        <w:rPr>
          <w:rFonts w:ascii="Arial" w:hAnsi="Arial" w:cs="Arial"/>
          <w:b/>
        </w:rPr>
        <w:t>loans falling within different</w:t>
      </w:r>
      <w:r w:rsidR="007E1E83" w:rsidRPr="006A71D5">
        <w:rPr>
          <w:rFonts w:ascii="Arial" w:hAnsi="Arial" w:cs="Arial"/>
          <w:b/>
        </w:rPr>
        <w:t xml:space="preserve"> </w:t>
      </w:r>
      <w:r w:rsidR="007B25D5">
        <w:rPr>
          <w:rFonts w:ascii="Arial" w:hAnsi="Arial" w:cs="Arial"/>
          <w:b/>
        </w:rPr>
        <w:t xml:space="preserve">     </w:t>
      </w:r>
    </w:p>
    <w:p w14:paraId="233CD0B3" w14:textId="41914B62" w:rsidR="007E1E83" w:rsidRPr="006A71D5" w:rsidRDefault="007B25D5" w:rsidP="007B25D5">
      <w:pPr>
        <w:pStyle w:val="Header"/>
        <w:tabs>
          <w:tab w:val="clear" w:pos="4320"/>
          <w:tab w:val="clear" w:pos="8640"/>
        </w:tabs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</w:t>
      </w:r>
      <w:r w:rsidR="007E1E83" w:rsidRPr="006A71D5">
        <w:rPr>
          <w:rFonts w:ascii="Arial" w:hAnsi="Arial" w:cs="Arial"/>
          <w:b/>
        </w:rPr>
        <w:t>amortization period</w:t>
      </w:r>
      <w:r w:rsidR="00356CD1" w:rsidRPr="006A71D5">
        <w:rPr>
          <w:rFonts w:ascii="Arial" w:hAnsi="Arial" w:cs="Arial"/>
          <w:b/>
        </w:rPr>
        <w:t>:</w:t>
      </w:r>
    </w:p>
    <w:p w14:paraId="6F1F1D65" w14:textId="77777777" w:rsidR="00356CD1" w:rsidRPr="007A79F3" w:rsidRDefault="00356CD1" w:rsidP="007A79F3">
      <w:pPr>
        <w:pStyle w:val="Header"/>
        <w:tabs>
          <w:tab w:val="clear" w:pos="4320"/>
          <w:tab w:val="clear" w:pos="8640"/>
        </w:tabs>
        <w:ind w:left="1800"/>
        <w:contextualSpacing/>
        <w:jc w:val="both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Spec="center" w:tblpY="85"/>
        <w:tblW w:w="5600" w:type="dxa"/>
        <w:tblLook w:val="04A0" w:firstRow="1" w:lastRow="0" w:firstColumn="1" w:lastColumn="0" w:noHBand="0" w:noVBand="1"/>
      </w:tblPr>
      <w:tblGrid>
        <w:gridCol w:w="4060"/>
        <w:gridCol w:w="1540"/>
      </w:tblGrid>
      <w:tr w:rsidR="00EA5C9A" w:rsidRPr="00EA5C9A" w14:paraId="17BA2FDD" w14:textId="77777777" w:rsidTr="00EA5C9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E4C6" w14:textId="77777777" w:rsidR="00EA5C9A" w:rsidRPr="00EA5C9A" w:rsidRDefault="00EA5C9A" w:rsidP="00EA5C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EA5C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Amortization Period as at Sep 30, 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57AB" w14:textId="77777777" w:rsidR="00EA5C9A" w:rsidRPr="00EA5C9A" w:rsidRDefault="00EA5C9A" w:rsidP="00EA5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EA5C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% </w:t>
            </w:r>
            <w:proofErr w:type="gramStart"/>
            <w:r w:rsidRPr="00EA5C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in</w:t>
            </w:r>
            <w:proofErr w:type="gramEnd"/>
            <w:r w:rsidRPr="00EA5C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Canada</w:t>
            </w:r>
          </w:p>
        </w:tc>
      </w:tr>
      <w:tr w:rsidR="00EA5C9A" w:rsidRPr="00EA5C9A" w14:paraId="1BF64D33" w14:textId="77777777" w:rsidTr="00EA5C9A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E49C" w14:textId="77777777" w:rsidR="00EA5C9A" w:rsidRPr="00EA5C9A" w:rsidRDefault="00EA5C9A" w:rsidP="00EA5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EA5C9A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≤ 15 Years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1EC5" w14:textId="77777777" w:rsidR="00EA5C9A" w:rsidRPr="00EA5C9A" w:rsidRDefault="00EA5C9A" w:rsidP="00EA5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EA5C9A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0.39%</w:t>
            </w:r>
          </w:p>
        </w:tc>
      </w:tr>
      <w:tr w:rsidR="00EA5C9A" w:rsidRPr="00EA5C9A" w14:paraId="2234D59D" w14:textId="77777777" w:rsidTr="00EA5C9A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6B14" w14:textId="77777777" w:rsidR="00EA5C9A" w:rsidRPr="00EA5C9A" w:rsidRDefault="00EA5C9A" w:rsidP="00EA5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EA5C9A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&gt; 15 Years ≤ 20 Years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B808" w14:textId="77777777" w:rsidR="00EA5C9A" w:rsidRPr="00EA5C9A" w:rsidRDefault="00EA5C9A" w:rsidP="00EA5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EA5C9A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0.10%</w:t>
            </w:r>
          </w:p>
        </w:tc>
      </w:tr>
      <w:tr w:rsidR="00EA5C9A" w:rsidRPr="00EA5C9A" w14:paraId="3720A25F" w14:textId="77777777" w:rsidTr="00EA5C9A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9F2E" w14:textId="77777777" w:rsidR="00EA5C9A" w:rsidRPr="00EA5C9A" w:rsidRDefault="00EA5C9A" w:rsidP="00EA5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EA5C9A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&gt; 20 Years ≤ 25 Years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9BED" w14:textId="77777777" w:rsidR="00EA5C9A" w:rsidRPr="00EA5C9A" w:rsidRDefault="00EA5C9A" w:rsidP="00EA5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EA5C9A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99.51%</w:t>
            </w:r>
          </w:p>
        </w:tc>
      </w:tr>
      <w:tr w:rsidR="00EA5C9A" w:rsidRPr="00EA5C9A" w14:paraId="69B3EFB2" w14:textId="77777777" w:rsidTr="00EA5C9A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F717" w14:textId="77777777" w:rsidR="00EA5C9A" w:rsidRPr="00EA5C9A" w:rsidRDefault="00EA5C9A" w:rsidP="00EA5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EA5C9A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&gt; 25 Years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32BB" w14:textId="77777777" w:rsidR="00EA5C9A" w:rsidRPr="00EA5C9A" w:rsidRDefault="00EA5C9A" w:rsidP="00EA5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EA5C9A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0.00%</w:t>
            </w:r>
          </w:p>
        </w:tc>
      </w:tr>
      <w:tr w:rsidR="00EA5C9A" w:rsidRPr="00EA5C9A" w14:paraId="68C915E7" w14:textId="77777777" w:rsidTr="00EA5C9A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6F9C" w14:textId="77777777" w:rsidR="00EA5C9A" w:rsidRPr="00EA5C9A" w:rsidRDefault="00EA5C9A" w:rsidP="00EA5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EA5C9A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7563" w14:textId="77777777" w:rsidR="00EA5C9A" w:rsidRPr="00EA5C9A" w:rsidRDefault="00EA5C9A" w:rsidP="00EA5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EA5C9A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100.00%</w:t>
            </w:r>
          </w:p>
        </w:tc>
      </w:tr>
    </w:tbl>
    <w:p w14:paraId="743BCF61" w14:textId="77777777" w:rsidR="00EA5C9A" w:rsidRDefault="00090594" w:rsidP="008D09D3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B81D62">
        <w:rPr>
          <w:rFonts w:ascii="Arial" w:hAnsi="Arial" w:cs="Arial"/>
          <w:sz w:val="24"/>
        </w:rPr>
        <w:t xml:space="preserve">                          </w:t>
      </w:r>
    </w:p>
    <w:p w14:paraId="1B992DF5" w14:textId="08C7CE23" w:rsidR="003C1D79" w:rsidRDefault="003C1D79" w:rsidP="008D09D3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 w:cs="Arial"/>
          <w:sz w:val="24"/>
        </w:rPr>
      </w:pPr>
    </w:p>
    <w:p w14:paraId="4B492C81" w14:textId="5CAD3426" w:rsidR="00796A44" w:rsidRDefault="00796A44" w:rsidP="004A209B">
      <w:pPr>
        <w:pStyle w:val="Header"/>
        <w:tabs>
          <w:tab w:val="clear" w:pos="4320"/>
          <w:tab w:val="clear" w:pos="8640"/>
          <w:tab w:val="left" w:pos="1820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</w:t>
      </w:r>
    </w:p>
    <w:p w14:paraId="0F6EBC08" w14:textId="77777777" w:rsidR="003C1D79" w:rsidRDefault="00796A44" w:rsidP="003C1D79">
      <w:pPr>
        <w:pStyle w:val="Header"/>
        <w:tabs>
          <w:tab w:val="clear" w:pos="4320"/>
          <w:tab w:val="clear" w:pos="8640"/>
          <w:tab w:val="left" w:pos="1701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</w:t>
      </w:r>
      <w:r w:rsidR="003C1D79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     </w:t>
      </w:r>
    </w:p>
    <w:p w14:paraId="245CB081" w14:textId="77777777" w:rsidR="003C1D79" w:rsidRDefault="003C1D79" w:rsidP="003C1D79">
      <w:pPr>
        <w:pStyle w:val="Header"/>
        <w:tabs>
          <w:tab w:val="clear" w:pos="4320"/>
          <w:tab w:val="clear" w:pos="8640"/>
          <w:tab w:val="left" w:pos="1701"/>
        </w:tabs>
        <w:spacing w:line="360" w:lineRule="auto"/>
        <w:jc w:val="both"/>
        <w:rPr>
          <w:rFonts w:ascii="Arial" w:hAnsi="Arial" w:cs="Arial"/>
          <w:sz w:val="24"/>
        </w:rPr>
      </w:pPr>
    </w:p>
    <w:p w14:paraId="7967833F" w14:textId="5CB0978B" w:rsidR="00F30C0D" w:rsidRDefault="003C1D79" w:rsidP="003C1D79">
      <w:pPr>
        <w:pStyle w:val="Header"/>
        <w:tabs>
          <w:tab w:val="clear" w:pos="4320"/>
          <w:tab w:val="clear" w:pos="8640"/>
          <w:tab w:val="left" w:pos="1701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</w:rPr>
        <w:t xml:space="preserve">                           </w:t>
      </w:r>
      <w:r w:rsidR="00F30C0D">
        <w:rPr>
          <w:rFonts w:ascii="Arial" w:hAnsi="Arial" w:cs="Arial"/>
          <w:b/>
        </w:rPr>
        <w:t xml:space="preserve">Average LTV ratio for the total newly originated residential mortgages and  </w:t>
      </w:r>
    </w:p>
    <w:p w14:paraId="13230685" w14:textId="693B0F77" w:rsidR="008D09D3" w:rsidRDefault="00F30C0D" w:rsidP="00F30C0D">
      <w:pPr>
        <w:pStyle w:val="Header"/>
        <w:tabs>
          <w:tab w:val="clear" w:pos="4320"/>
          <w:tab w:val="clear" w:pos="8640"/>
        </w:tabs>
        <w:ind w:left="144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D97585">
        <w:rPr>
          <w:rFonts w:ascii="Arial" w:hAnsi="Arial" w:cs="Arial"/>
          <w:b/>
        </w:rPr>
        <w:t xml:space="preserve"> </w:t>
      </w:r>
      <w:r w:rsidR="003C1D7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HELOC </w:t>
      </w:r>
      <w:r w:rsidR="0001209A">
        <w:rPr>
          <w:rFonts w:ascii="Arial" w:hAnsi="Arial" w:cs="Arial"/>
          <w:b/>
        </w:rPr>
        <w:t xml:space="preserve">for the quarter ended </w:t>
      </w:r>
      <w:r w:rsidR="00EA5C9A">
        <w:rPr>
          <w:rFonts w:ascii="Arial" w:hAnsi="Arial" w:cs="Arial"/>
          <w:b/>
        </w:rPr>
        <w:t>September</w:t>
      </w:r>
      <w:r w:rsidR="0001209A">
        <w:rPr>
          <w:rFonts w:ascii="Arial" w:hAnsi="Arial" w:cs="Arial"/>
          <w:b/>
        </w:rPr>
        <w:t xml:space="preserve"> 3</w:t>
      </w:r>
      <w:r w:rsidR="007210D0">
        <w:rPr>
          <w:rFonts w:ascii="Arial" w:hAnsi="Arial" w:cs="Arial"/>
          <w:b/>
        </w:rPr>
        <w:t>0</w:t>
      </w:r>
      <w:r w:rsidR="0001209A">
        <w:rPr>
          <w:rFonts w:ascii="Arial" w:hAnsi="Arial" w:cs="Arial"/>
          <w:b/>
        </w:rPr>
        <w:t>, 202</w:t>
      </w:r>
      <w:r w:rsidR="00F539E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:</w:t>
      </w:r>
    </w:p>
    <w:p w14:paraId="41BDCEE5" w14:textId="1D7D1801" w:rsidR="006469CC" w:rsidRDefault="007210D0" w:rsidP="00F30C0D">
      <w:pPr>
        <w:pStyle w:val="Header"/>
        <w:tabs>
          <w:tab w:val="clear" w:pos="4320"/>
          <w:tab w:val="clear" w:pos="8640"/>
        </w:tabs>
        <w:ind w:left="144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tbl>
      <w:tblPr>
        <w:tblpPr w:leftFromText="180" w:rightFromText="180" w:vertAnchor="text" w:horzAnchor="page" w:tblpX="3438" w:tblpY="-60"/>
        <w:tblW w:w="4220" w:type="dxa"/>
        <w:tblLook w:val="04A0" w:firstRow="1" w:lastRow="0" w:firstColumn="1" w:lastColumn="0" w:noHBand="0" w:noVBand="1"/>
      </w:tblPr>
      <w:tblGrid>
        <w:gridCol w:w="2460"/>
        <w:gridCol w:w="1760"/>
      </w:tblGrid>
      <w:tr w:rsidR="00312F1A" w:rsidRPr="00312F1A" w14:paraId="12FD33A2" w14:textId="77777777" w:rsidTr="00936832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76FD" w14:textId="77777777" w:rsidR="00312F1A" w:rsidRPr="00312F1A" w:rsidRDefault="00312F1A" w:rsidP="00936832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12F1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Residential Mortgage: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C74A" w14:textId="77777777" w:rsidR="00312F1A" w:rsidRPr="00312F1A" w:rsidRDefault="00312F1A" w:rsidP="009368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12F1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56.64%</w:t>
            </w:r>
          </w:p>
        </w:tc>
      </w:tr>
      <w:tr w:rsidR="00312F1A" w:rsidRPr="00312F1A" w14:paraId="0D111851" w14:textId="77777777" w:rsidTr="00936832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87D9" w14:textId="77777777" w:rsidR="00312F1A" w:rsidRPr="00312F1A" w:rsidRDefault="00312F1A" w:rsidP="00936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12F1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HELOCs: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59EF" w14:textId="77777777" w:rsidR="00312F1A" w:rsidRPr="00312F1A" w:rsidRDefault="00312F1A" w:rsidP="009368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12F1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</w:tr>
    </w:tbl>
    <w:p w14:paraId="7E2813C3" w14:textId="6F41E160" w:rsidR="00312F1A" w:rsidRDefault="007210D0" w:rsidP="007022E5">
      <w:pPr>
        <w:pStyle w:val="Header"/>
        <w:tabs>
          <w:tab w:val="clear" w:pos="4320"/>
          <w:tab w:val="clear" w:pos="8640"/>
        </w:tabs>
        <w:ind w:left="144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12F1A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</w:t>
      </w:r>
    </w:p>
    <w:p w14:paraId="5C74DC23" w14:textId="50572E42" w:rsidR="007022E5" w:rsidRDefault="00312F1A" w:rsidP="007022E5">
      <w:pPr>
        <w:pStyle w:val="Header"/>
        <w:tabs>
          <w:tab w:val="clear" w:pos="4320"/>
          <w:tab w:val="clear" w:pos="8640"/>
        </w:tabs>
        <w:ind w:left="144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="007210D0">
        <w:rPr>
          <w:rFonts w:ascii="Arial" w:hAnsi="Arial" w:cs="Arial"/>
          <w:b/>
        </w:rPr>
        <w:t xml:space="preserve">      </w:t>
      </w:r>
    </w:p>
    <w:p w14:paraId="4CB4B4F8" w14:textId="6DEC1FDC" w:rsidR="007B25D5" w:rsidRDefault="00312F1A" w:rsidP="007022E5">
      <w:pPr>
        <w:pStyle w:val="Header"/>
        <w:tabs>
          <w:tab w:val="clear" w:pos="4320"/>
          <w:tab w:val="clear" w:pos="8640"/>
          <w:tab w:val="left" w:pos="1843"/>
        </w:tabs>
        <w:ind w:left="144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7936DA">
        <w:rPr>
          <w:rFonts w:ascii="Arial" w:hAnsi="Arial" w:cs="Arial"/>
          <w:b/>
        </w:rPr>
        <w:t xml:space="preserve">                         </w:t>
      </w:r>
    </w:p>
    <w:p w14:paraId="1A394B08" w14:textId="2C754FE7" w:rsidR="007936DA" w:rsidRDefault="007B25D5" w:rsidP="007936DA">
      <w:pPr>
        <w:pStyle w:val="Header"/>
        <w:tabs>
          <w:tab w:val="clear" w:pos="4320"/>
          <w:tab w:val="clear" w:pos="8640"/>
        </w:tabs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</w:t>
      </w:r>
      <w:r w:rsidR="00F30C0D" w:rsidRPr="00AF1E77">
        <w:rPr>
          <w:rFonts w:ascii="Arial" w:hAnsi="Arial" w:cs="Arial"/>
          <w:b/>
        </w:rPr>
        <w:t xml:space="preserve">Geographic Breakdown for the average LTV ratio for the total newly originated </w:t>
      </w:r>
      <w:r w:rsidR="007936DA">
        <w:rPr>
          <w:rFonts w:ascii="Arial" w:hAnsi="Arial" w:cs="Arial"/>
          <w:b/>
        </w:rPr>
        <w:t xml:space="preserve"> </w:t>
      </w:r>
    </w:p>
    <w:p w14:paraId="09F62023" w14:textId="5E9EF81F" w:rsidR="00F30C0D" w:rsidRPr="00AF1E77" w:rsidRDefault="007936DA" w:rsidP="007936DA">
      <w:pPr>
        <w:pStyle w:val="Header"/>
        <w:tabs>
          <w:tab w:val="clear" w:pos="4320"/>
          <w:tab w:val="clear" w:pos="8640"/>
        </w:tabs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</w:rPr>
        <w:t xml:space="preserve">                                </w:t>
      </w:r>
      <w:r w:rsidR="00F30C0D" w:rsidRPr="00AF1E77">
        <w:rPr>
          <w:rFonts w:ascii="Arial" w:hAnsi="Arial" w:cs="Arial"/>
          <w:b/>
        </w:rPr>
        <w:t>residential mortgage loans and HELOC</w:t>
      </w:r>
      <w:r w:rsidR="00E91C32">
        <w:rPr>
          <w:rFonts w:ascii="Arial" w:hAnsi="Arial" w:cs="Arial"/>
          <w:b/>
        </w:rPr>
        <w:t>:</w:t>
      </w:r>
      <w:r w:rsidR="007A79F3" w:rsidRPr="00AF1E77">
        <w:rPr>
          <w:rFonts w:ascii="Arial" w:hAnsi="Arial" w:cs="Arial"/>
          <w:sz w:val="24"/>
        </w:rPr>
        <w:t xml:space="preserve"> </w:t>
      </w:r>
      <w:r w:rsidR="008D09D3" w:rsidRPr="00AF1E77">
        <w:rPr>
          <w:rFonts w:ascii="Arial" w:hAnsi="Arial" w:cs="Arial"/>
          <w:sz w:val="24"/>
        </w:rPr>
        <w:t xml:space="preserve">  </w:t>
      </w:r>
    </w:p>
    <w:p w14:paraId="423B8800" w14:textId="4CDB1C0A" w:rsidR="00314F09" w:rsidRDefault="007B25D5" w:rsidP="00F30C0D">
      <w:pPr>
        <w:pStyle w:val="Header"/>
        <w:tabs>
          <w:tab w:val="clear" w:pos="4320"/>
          <w:tab w:val="clear" w:pos="8640"/>
        </w:tabs>
        <w:ind w:left="1800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8D09D3">
        <w:rPr>
          <w:rFonts w:ascii="Arial" w:hAnsi="Arial" w:cs="Arial"/>
          <w:sz w:val="24"/>
        </w:rPr>
        <w:t xml:space="preserve">                   </w:t>
      </w:r>
      <w:r w:rsidR="00314F09">
        <w:rPr>
          <w:rFonts w:ascii="Arial" w:hAnsi="Arial" w:cs="Arial"/>
          <w:sz w:val="24"/>
        </w:rPr>
        <w:t xml:space="preserve">                       </w:t>
      </w:r>
    </w:p>
    <w:tbl>
      <w:tblPr>
        <w:tblW w:w="4282" w:type="dxa"/>
        <w:tblInd w:w="1951" w:type="dxa"/>
        <w:tblLook w:val="04A0" w:firstRow="1" w:lastRow="0" w:firstColumn="1" w:lastColumn="0" w:noHBand="0" w:noVBand="1"/>
      </w:tblPr>
      <w:tblGrid>
        <w:gridCol w:w="2678"/>
        <w:gridCol w:w="1604"/>
      </w:tblGrid>
      <w:tr w:rsidR="00312F1A" w:rsidRPr="00312F1A" w14:paraId="1A37B163" w14:textId="77777777" w:rsidTr="00936832">
        <w:trPr>
          <w:trHeight w:val="28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8D1DD" w14:textId="77777777" w:rsidR="00312F1A" w:rsidRPr="00312F1A" w:rsidRDefault="00312F1A" w:rsidP="0031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CA" w:eastAsia="en-CA"/>
              </w:rPr>
            </w:pPr>
            <w:r w:rsidRPr="00312F1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CA" w:eastAsia="en-CA"/>
              </w:rPr>
              <w:t>Residential Mortgage: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086A" w14:textId="77777777" w:rsidR="00312F1A" w:rsidRPr="00312F1A" w:rsidRDefault="00312F1A" w:rsidP="0031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12F1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312F1A" w:rsidRPr="00312F1A" w14:paraId="30E27C9F" w14:textId="77777777" w:rsidTr="00936832">
        <w:trPr>
          <w:trHeight w:val="244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E580" w14:textId="77777777" w:rsidR="00312F1A" w:rsidRPr="00312F1A" w:rsidRDefault="00312F1A" w:rsidP="0031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12F1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Ontario, Canada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44BA" w14:textId="77777777" w:rsidR="00312F1A" w:rsidRPr="00312F1A" w:rsidRDefault="00312F1A" w:rsidP="00312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12F1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56.64%</w:t>
            </w:r>
          </w:p>
        </w:tc>
      </w:tr>
      <w:tr w:rsidR="00312F1A" w:rsidRPr="00312F1A" w14:paraId="6721FFCF" w14:textId="77777777" w:rsidTr="00936832">
        <w:trPr>
          <w:trHeight w:val="244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AC8F" w14:textId="77777777" w:rsidR="00312F1A" w:rsidRPr="00312F1A" w:rsidRDefault="00312F1A" w:rsidP="0031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312F1A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F120" w14:textId="77777777" w:rsidR="00312F1A" w:rsidRPr="00312F1A" w:rsidRDefault="00312F1A" w:rsidP="00312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312F1A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</w:tr>
      <w:tr w:rsidR="00312F1A" w:rsidRPr="00312F1A" w14:paraId="0B48DF28" w14:textId="77777777" w:rsidTr="00936832">
        <w:trPr>
          <w:trHeight w:val="244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FA855" w14:textId="77777777" w:rsidR="00312F1A" w:rsidRPr="00312F1A" w:rsidRDefault="00312F1A" w:rsidP="0031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CA" w:eastAsia="en-CA"/>
              </w:rPr>
            </w:pPr>
            <w:r w:rsidRPr="00312F1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CA" w:eastAsia="en-CA"/>
              </w:rPr>
              <w:t>HELOCs: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8039" w14:textId="77777777" w:rsidR="00312F1A" w:rsidRPr="00312F1A" w:rsidRDefault="00312F1A" w:rsidP="00312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12F1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312F1A" w:rsidRPr="00312F1A" w14:paraId="031483BD" w14:textId="77777777" w:rsidTr="00936832">
        <w:trPr>
          <w:trHeight w:val="244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5A9D9" w14:textId="77777777" w:rsidR="00312F1A" w:rsidRPr="00312F1A" w:rsidRDefault="00312F1A" w:rsidP="0031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12F1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Ontario, Canada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92AB" w14:textId="77777777" w:rsidR="00312F1A" w:rsidRPr="00312F1A" w:rsidRDefault="00312F1A" w:rsidP="00312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12F1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</w:tr>
    </w:tbl>
    <w:p w14:paraId="00DD4511" w14:textId="3B71E24F" w:rsidR="008D09D3" w:rsidRDefault="008D09D3" w:rsidP="00A073A7">
      <w:pPr>
        <w:pStyle w:val="Header"/>
        <w:tabs>
          <w:tab w:val="clear" w:pos="4320"/>
          <w:tab w:val="clear" w:pos="8640"/>
          <w:tab w:val="left" w:pos="1800"/>
        </w:tabs>
        <w:spacing w:line="360" w:lineRule="auto"/>
        <w:ind w:left="1843" w:hanging="43"/>
        <w:jc w:val="both"/>
        <w:rPr>
          <w:rFonts w:ascii="Arial" w:hAnsi="Arial" w:cs="Arial"/>
          <w:sz w:val="24"/>
        </w:rPr>
      </w:pPr>
    </w:p>
    <w:p w14:paraId="43AF4137" w14:textId="77777777" w:rsidR="00B83536" w:rsidRDefault="00F30C0D" w:rsidP="00B83536">
      <w:pPr>
        <w:pStyle w:val="Header"/>
        <w:tabs>
          <w:tab w:val="clear" w:pos="4320"/>
          <w:tab w:val="clear" w:pos="8640"/>
          <w:tab w:val="left" w:pos="1800"/>
        </w:tabs>
        <w:ind w:firstLine="180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Geographic Breakdown of the amount and the percentage of the residential </w:t>
      </w:r>
    </w:p>
    <w:p w14:paraId="3565C2FC" w14:textId="67785E65" w:rsidR="00F30C0D" w:rsidRDefault="00B83536" w:rsidP="00B83536">
      <w:pPr>
        <w:pStyle w:val="Header"/>
        <w:tabs>
          <w:tab w:val="clear" w:pos="4320"/>
          <w:tab w:val="clear" w:pos="8640"/>
          <w:tab w:val="left" w:pos="1800"/>
        </w:tabs>
        <w:ind w:firstLine="180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Mortgages including HELOC</w:t>
      </w:r>
      <w:r w:rsidR="00E91C32">
        <w:rPr>
          <w:rFonts w:ascii="Arial" w:hAnsi="Arial" w:cs="Arial"/>
          <w:b/>
        </w:rPr>
        <w:t>:</w:t>
      </w:r>
    </w:p>
    <w:p w14:paraId="0FCA3EB5" w14:textId="77777777" w:rsidR="00936832" w:rsidRDefault="00936832" w:rsidP="00B83536">
      <w:pPr>
        <w:pStyle w:val="Header"/>
        <w:tabs>
          <w:tab w:val="clear" w:pos="4320"/>
          <w:tab w:val="clear" w:pos="8640"/>
          <w:tab w:val="left" w:pos="1800"/>
        </w:tabs>
        <w:ind w:firstLine="1800"/>
        <w:contextualSpacing/>
        <w:jc w:val="both"/>
        <w:rPr>
          <w:rFonts w:ascii="Arial" w:hAnsi="Arial" w:cs="Arial"/>
          <w:b/>
        </w:rPr>
      </w:pPr>
    </w:p>
    <w:tbl>
      <w:tblPr>
        <w:tblW w:w="6431" w:type="dxa"/>
        <w:tblInd w:w="1951" w:type="dxa"/>
        <w:tblLook w:val="04A0" w:firstRow="1" w:lastRow="0" w:firstColumn="1" w:lastColumn="0" w:noHBand="0" w:noVBand="1"/>
      </w:tblPr>
      <w:tblGrid>
        <w:gridCol w:w="3079"/>
        <w:gridCol w:w="1982"/>
        <w:gridCol w:w="1370"/>
      </w:tblGrid>
      <w:tr w:rsidR="00936832" w:rsidRPr="00936832" w14:paraId="0E9C6E95" w14:textId="77777777" w:rsidTr="00936832">
        <w:trPr>
          <w:trHeight w:val="322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3FF8" w14:textId="77777777" w:rsidR="00936832" w:rsidRPr="00936832" w:rsidRDefault="00936832" w:rsidP="00936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936832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Area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F28D" w14:textId="77777777" w:rsidR="00936832" w:rsidRPr="00936832" w:rsidRDefault="00936832" w:rsidP="00936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936832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Amount (CAD 000)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BC73" w14:textId="77777777" w:rsidR="00936832" w:rsidRPr="00936832" w:rsidRDefault="00936832" w:rsidP="00936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936832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Percentage</w:t>
            </w:r>
          </w:p>
        </w:tc>
      </w:tr>
      <w:tr w:rsidR="00936832" w:rsidRPr="00936832" w14:paraId="3F540C8D" w14:textId="77777777" w:rsidTr="00936832">
        <w:trPr>
          <w:trHeight w:val="274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112A" w14:textId="77777777" w:rsidR="00936832" w:rsidRPr="00936832" w:rsidRDefault="00936832" w:rsidP="00936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936832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Ontario, Canada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333A" w14:textId="77777777" w:rsidR="00936832" w:rsidRPr="00936832" w:rsidRDefault="00936832" w:rsidP="00936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936832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                  27,361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1009" w14:textId="77777777" w:rsidR="00936832" w:rsidRPr="00936832" w:rsidRDefault="00936832" w:rsidP="00936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936832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100.00%</w:t>
            </w:r>
          </w:p>
        </w:tc>
      </w:tr>
      <w:tr w:rsidR="00936832" w:rsidRPr="00936832" w14:paraId="75D51D0C" w14:textId="77777777" w:rsidTr="00936832">
        <w:trPr>
          <w:trHeight w:val="274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4A8D" w14:textId="77777777" w:rsidR="00936832" w:rsidRPr="00936832" w:rsidRDefault="00936832" w:rsidP="00936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936832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C815" w14:textId="77777777" w:rsidR="00936832" w:rsidRPr="00936832" w:rsidRDefault="00936832" w:rsidP="00936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936832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A4B2" w14:textId="77777777" w:rsidR="00936832" w:rsidRPr="00936832" w:rsidRDefault="00936832" w:rsidP="00936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936832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</w:tr>
      <w:tr w:rsidR="00936832" w:rsidRPr="00936832" w14:paraId="1AF57390" w14:textId="77777777" w:rsidTr="00936832">
        <w:trPr>
          <w:trHeight w:val="274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5424" w14:textId="77777777" w:rsidR="00936832" w:rsidRPr="00936832" w:rsidRDefault="00936832" w:rsidP="00936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9368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Total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A972" w14:textId="77777777" w:rsidR="00936832" w:rsidRPr="00936832" w:rsidRDefault="00936832" w:rsidP="00936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9368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 xml:space="preserve">                   27,361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2F03" w14:textId="77777777" w:rsidR="00936832" w:rsidRPr="00936832" w:rsidRDefault="00936832" w:rsidP="00936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9368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100.00%</w:t>
            </w:r>
          </w:p>
        </w:tc>
      </w:tr>
    </w:tbl>
    <w:p w14:paraId="6CFF33C5" w14:textId="6C69F46C" w:rsidR="00153623" w:rsidRDefault="00153623" w:rsidP="00B83536">
      <w:pPr>
        <w:pStyle w:val="Header"/>
        <w:tabs>
          <w:tab w:val="clear" w:pos="4320"/>
          <w:tab w:val="clear" w:pos="8640"/>
          <w:tab w:val="left" w:pos="1800"/>
        </w:tabs>
        <w:ind w:firstLine="1800"/>
        <w:contextualSpacing/>
        <w:jc w:val="both"/>
        <w:rPr>
          <w:rFonts w:ascii="Arial" w:hAnsi="Arial" w:cs="Arial"/>
          <w:b/>
        </w:rPr>
      </w:pPr>
    </w:p>
    <w:p w14:paraId="6ECD02D0" w14:textId="4F4BFD73" w:rsidR="007B25D5" w:rsidRDefault="007B25D5" w:rsidP="00936832">
      <w:pPr>
        <w:pStyle w:val="Header"/>
        <w:tabs>
          <w:tab w:val="clear" w:pos="4320"/>
          <w:tab w:val="clear" w:pos="8640"/>
        </w:tabs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</w:p>
    <w:p w14:paraId="34B85BE8" w14:textId="49F1D49B" w:rsidR="007E1E83" w:rsidRPr="007A79F3" w:rsidRDefault="007A79F3" w:rsidP="007A79F3">
      <w:pPr>
        <w:pStyle w:val="Header"/>
        <w:tabs>
          <w:tab w:val="clear" w:pos="4320"/>
          <w:tab w:val="clear" w:pos="8640"/>
        </w:tabs>
        <w:ind w:left="1800"/>
        <w:contextualSpacing/>
        <w:jc w:val="both"/>
        <w:rPr>
          <w:rFonts w:ascii="Arial" w:hAnsi="Arial" w:cs="Arial"/>
          <w:b/>
        </w:rPr>
      </w:pPr>
      <w:r w:rsidRPr="007A79F3">
        <w:rPr>
          <w:rFonts w:ascii="Arial" w:hAnsi="Arial" w:cs="Arial"/>
          <w:b/>
        </w:rPr>
        <w:t>P</w:t>
      </w:r>
      <w:r w:rsidR="007E1E83" w:rsidRPr="007A79F3">
        <w:rPr>
          <w:rFonts w:ascii="Arial" w:hAnsi="Arial" w:cs="Arial"/>
          <w:b/>
        </w:rPr>
        <w:t>otential impact on residential mortgage loans and HELOC in the event of an economic downturn</w:t>
      </w:r>
      <w:r w:rsidR="00E91C32">
        <w:rPr>
          <w:rFonts w:ascii="Arial" w:hAnsi="Arial" w:cs="Arial"/>
          <w:b/>
        </w:rPr>
        <w:t>:</w:t>
      </w:r>
    </w:p>
    <w:p w14:paraId="2DCD3B16" w14:textId="77777777" w:rsidR="003948B7" w:rsidRDefault="003948B7" w:rsidP="00A551A3">
      <w:pPr>
        <w:ind w:left="1800"/>
        <w:rPr>
          <w:rFonts w:ascii="Arial" w:eastAsia="Times New Roman" w:hAnsi="Arial" w:cs="Arial"/>
          <w:bCs/>
          <w:sz w:val="20"/>
          <w:szCs w:val="20"/>
        </w:rPr>
      </w:pPr>
    </w:p>
    <w:p w14:paraId="7788ADAA" w14:textId="523747E0" w:rsidR="00427221" w:rsidRPr="00A551A3" w:rsidRDefault="007A12E1" w:rsidP="00A551A3">
      <w:pPr>
        <w:ind w:left="180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I</w:t>
      </w:r>
      <w:r w:rsidR="00E340FF">
        <w:rPr>
          <w:rFonts w:ascii="Arial" w:eastAsia="Times New Roman" w:hAnsi="Arial" w:cs="Arial"/>
          <w:bCs/>
          <w:sz w:val="20"/>
          <w:szCs w:val="20"/>
        </w:rPr>
        <w:t>n the event of an economic downturn the potential impact on Habib Canadian Bank’s</w:t>
      </w:r>
      <w:r>
        <w:rPr>
          <w:rFonts w:ascii="Arial" w:eastAsia="Times New Roman" w:hAnsi="Arial" w:cs="Arial"/>
          <w:bCs/>
          <w:sz w:val="20"/>
          <w:szCs w:val="20"/>
        </w:rPr>
        <w:t xml:space="preserve"> residential mortgages including HELOC </w:t>
      </w:r>
      <w:r w:rsidR="00E340FF">
        <w:rPr>
          <w:rFonts w:ascii="Arial" w:eastAsia="Times New Roman" w:hAnsi="Arial" w:cs="Arial"/>
          <w:bCs/>
          <w:sz w:val="20"/>
          <w:szCs w:val="20"/>
        </w:rPr>
        <w:t>is deemed to be low to medium since the residential mortgage portfolio is well secured with maximum loan to value of 75%.</w:t>
      </w:r>
    </w:p>
    <w:sectPr w:rsidR="00427221" w:rsidRPr="00A55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1979"/>
    <w:multiLevelType w:val="hybridMultilevel"/>
    <w:tmpl w:val="C63C7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6F7FB7"/>
    <w:multiLevelType w:val="multilevel"/>
    <w:tmpl w:val="39803424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  <w:b/>
        <w:sz w:val="24"/>
        <w:szCs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1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1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1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1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16"/>
      </w:rPr>
    </w:lvl>
  </w:abstractNum>
  <w:abstractNum w:abstractNumId="2" w15:restartNumberingAfterBreak="0">
    <w:nsid w:val="423100D8"/>
    <w:multiLevelType w:val="hybridMultilevel"/>
    <w:tmpl w:val="254C353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39370248">
    <w:abstractNumId w:val="0"/>
  </w:num>
  <w:num w:numId="2" w16cid:durableId="1963726248">
    <w:abstractNumId w:val="1"/>
  </w:num>
  <w:num w:numId="3" w16cid:durableId="750348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E83"/>
    <w:rsid w:val="0001209A"/>
    <w:rsid w:val="000433A2"/>
    <w:rsid w:val="00051A6B"/>
    <w:rsid w:val="000706A2"/>
    <w:rsid w:val="00090594"/>
    <w:rsid w:val="000A498B"/>
    <w:rsid w:val="000A6E5A"/>
    <w:rsid w:val="000C4A92"/>
    <w:rsid w:val="0010054D"/>
    <w:rsid w:val="00144F82"/>
    <w:rsid w:val="00153623"/>
    <w:rsid w:val="0015512A"/>
    <w:rsid w:val="001B1726"/>
    <w:rsid w:val="001B5AAE"/>
    <w:rsid w:val="001C6C4D"/>
    <w:rsid w:val="00263183"/>
    <w:rsid w:val="00290154"/>
    <w:rsid w:val="002B7DB7"/>
    <w:rsid w:val="002E24AE"/>
    <w:rsid w:val="00312F1A"/>
    <w:rsid w:val="00314F09"/>
    <w:rsid w:val="003429D9"/>
    <w:rsid w:val="003431EE"/>
    <w:rsid w:val="00355D8C"/>
    <w:rsid w:val="00356CD1"/>
    <w:rsid w:val="00371D38"/>
    <w:rsid w:val="003948B7"/>
    <w:rsid w:val="003C1D79"/>
    <w:rsid w:val="003D1990"/>
    <w:rsid w:val="003D6D0D"/>
    <w:rsid w:val="00402641"/>
    <w:rsid w:val="00427221"/>
    <w:rsid w:val="00466998"/>
    <w:rsid w:val="00476EB9"/>
    <w:rsid w:val="00486298"/>
    <w:rsid w:val="004A209B"/>
    <w:rsid w:val="004B1433"/>
    <w:rsid w:val="004B74C0"/>
    <w:rsid w:val="004D6C19"/>
    <w:rsid w:val="005535A8"/>
    <w:rsid w:val="00574633"/>
    <w:rsid w:val="00596CA2"/>
    <w:rsid w:val="0062042C"/>
    <w:rsid w:val="0062596F"/>
    <w:rsid w:val="0063527F"/>
    <w:rsid w:val="00636FB7"/>
    <w:rsid w:val="0063702D"/>
    <w:rsid w:val="006469CC"/>
    <w:rsid w:val="006535D8"/>
    <w:rsid w:val="0067555D"/>
    <w:rsid w:val="0068122E"/>
    <w:rsid w:val="00687309"/>
    <w:rsid w:val="00696C19"/>
    <w:rsid w:val="006A02E6"/>
    <w:rsid w:val="006A71D5"/>
    <w:rsid w:val="006C0A25"/>
    <w:rsid w:val="007022E5"/>
    <w:rsid w:val="007210D0"/>
    <w:rsid w:val="00721FF5"/>
    <w:rsid w:val="00723C22"/>
    <w:rsid w:val="007452DE"/>
    <w:rsid w:val="007454A7"/>
    <w:rsid w:val="00753599"/>
    <w:rsid w:val="0076423D"/>
    <w:rsid w:val="00774408"/>
    <w:rsid w:val="007936DA"/>
    <w:rsid w:val="00796A44"/>
    <w:rsid w:val="007A12E1"/>
    <w:rsid w:val="007A316D"/>
    <w:rsid w:val="007A4760"/>
    <w:rsid w:val="007A79F3"/>
    <w:rsid w:val="007B043E"/>
    <w:rsid w:val="007B25D5"/>
    <w:rsid w:val="007B429C"/>
    <w:rsid w:val="007E1E83"/>
    <w:rsid w:val="007E52D7"/>
    <w:rsid w:val="007F4E7F"/>
    <w:rsid w:val="00815217"/>
    <w:rsid w:val="00823D57"/>
    <w:rsid w:val="008730FB"/>
    <w:rsid w:val="00885FE9"/>
    <w:rsid w:val="008D0029"/>
    <w:rsid w:val="008D09D3"/>
    <w:rsid w:val="008D561B"/>
    <w:rsid w:val="008F7979"/>
    <w:rsid w:val="00901870"/>
    <w:rsid w:val="0090294B"/>
    <w:rsid w:val="0093461E"/>
    <w:rsid w:val="00935C2E"/>
    <w:rsid w:val="00936832"/>
    <w:rsid w:val="0095294C"/>
    <w:rsid w:val="00960BD8"/>
    <w:rsid w:val="0097554A"/>
    <w:rsid w:val="009965B1"/>
    <w:rsid w:val="009D0C9D"/>
    <w:rsid w:val="009E2D9E"/>
    <w:rsid w:val="00A073A7"/>
    <w:rsid w:val="00A11016"/>
    <w:rsid w:val="00A34A24"/>
    <w:rsid w:val="00A452F5"/>
    <w:rsid w:val="00A45349"/>
    <w:rsid w:val="00A47006"/>
    <w:rsid w:val="00A53424"/>
    <w:rsid w:val="00A551A3"/>
    <w:rsid w:val="00A70B7B"/>
    <w:rsid w:val="00A9199C"/>
    <w:rsid w:val="00AB6D94"/>
    <w:rsid w:val="00AC6839"/>
    <w:rsid w:val="00AD1272"/>
    <w:rsid w:val="00AE13BC"/>
    <w:rsid w:val="00AE185B"/>
    <w:rsid w:val="00AF1E77"/>
    <w:rsid w:val="00B15F20"/>
    <w:rsid w:val="00B47734"/>
    <w:rsid w:val="00B64884"/>
    <w:rsid w:val="00B76742"/>
    <w:rsid w:val="00B81D62"/>
    <w:rsid w:val="00B83536"/>
    <w:rsid w:val="00BD7D56"/>
    <w:rsid w:val="00BF048D"/>
    <w:rsid w:val="00BF4FB8"/>
    <w:rsid w:val="00C923C7"/>
    <w:rsid w:val="00C96887"/>
    <w:rsid w:val="00C97B33"/>
    <w:rsid w:val="00CA56E8"/>
    <w:rsid w:val="00D37132"/>
    <w:rsid w:val="00D5529C"/>
    <w:rsid w:val="00D97585"/>
    <w:rsid w:val="00DA2B22"/>
    <w:rsid w:val="00DB6143"/>
    <w:rsid w:val="00DC1954"/>
    <w:rsid w:val="00DF0BBD"/>
    <w:rsid w:val="00E249BE"/>
    <w:rsid w:val="00E340FF"/>
    <w:rsid w:val="00E83778"/>
    <w:rsid w:val="00E91C32"/>
    <w:rsid w:val="00EA5C9A"/>
    <w:rsid w:val="00ED156A"/>
    <w:rsid w:val="00F148CA"/>
    <w:rsid w:val="00F15DF2"/>
    <w:rsid w:val="00F25350"/>
    <w:rsid w:val="00F30C0D"/>
    <w:rsid w:val="00F32798"/>
    <w:rsid w:val="00F539EC"/>
    <w:rsid w:val="00F92C2D"/>
    <w:rsid w:val="00FA36F6"/>
    <w:rsid w:val="00FA4AB2"/>
    <w:rsid w:val="00FB0805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85DA76"/>
  <w15:docId w15:val="{51BFAE8A-357F-4800-B977-24AB6904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1E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E1E8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F4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B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D6D0D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 Mavalvala</dc:creator>
  <cp:lastModifiedBy>Amir Bhatti</cp:lastModifiedBy>
  <cp:revision>99</cp:revision>
  <cp:lastPrinted>2015-08-10T19:32:00Z</cp:lastPrinted>
  <dcterms:created xsi:type="dcterms:W3CDTF">2014-01-22T16:59:00Z</dcterms:created>
  <dcterms:modified xsi:type="dcterms:W3CDTF">2022-11-07T17:56:00Z</dcterms:modified>
</cp:coreProperties>
</file>