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54A8D" w14:textId="77777777" w:rsidR="00C15762" w:rsidRDefault="00C15762" w:rsidP="00BB0B84">
      <w:pPr>
        <w:pStyle w:val="BodyText"/>
        <w:ind w:right="282"/>
        <w:rPr>
          <w:rFonts w:ascii="Times New Roman"/>
          <w:sz w:val="20"/>
        </w:rPr>
      </w:pPr>
    </w:p>
    <w:p w14:paraId="0389E6A8" w14:textId="77777777" w:rsidR="00C15762" w:rsidRDefault="00C15762" w:rsidP="00BB0B84">
      <w:pPr>
        <w:pStyle w:val="BodyText"/>
        <w:ind w:right="282"/>
        <w:rPr>
          <w:rFonts w:ascii="Times New Roman"/>
          <w:sz w:val="20"/>
        </w:rPr>
      </w:pPr>
    </w:p>
    <w:p w14:paraId="5C626FEE" w14:textId="77777777" w:rsidR="00C15762" w:rsidRDefault="00C15762" w:rsidP="00BB0B84">
      <w:pPr>
        <w:pStyle w:val="BodyText"/>
        <w:ind w:right="282"/>
        <w:rPr>
          <w:rFonts w:ascii="Times New Roman"/>
          <w:sz w:val="20"/>
        </w:rPr>
      </w:pPr>
    </w:p>
    <w:p w14:paraId="476CE071" w14:textId="77777777" w:rsidR="00C15762" w:rsidRDefault="00C15762" w:rsidP="00BB0B84">
      <w:pPr>
        <w:pStyle w:val="BodyText"/>
        <w:ind w:right="282"/>
        <w:rPr>
          <w:rFonts w:ascii="Times New Roman"/>
          <w:sz w:val="20"/>
        </w:rPr>
      </w:pPr>
    </w:p>
    <w:p w14:paraId="36EB26DE" w14:textId="77777777" w:rsidR="00C15762" w:rsidRDefault="00C15762" w:rsidP="00BB0B84">
      <w:pPr>
        <w:pStyle w:val="BodyText"/>
        <w:ind w:right="282"/>
        <w:rPr>
          <w:rFonts w:ascii="Times New Roman"/>
          <w:sz w:val="20"/>
        </w:rPr>
      </w:pPr>
    </w:p>
    <w:p w14:paraId="763EE7FD" w14:textId="77777777" w:rsidR="00C15762" w:rsidRDefault="00C15762" w:rsidP="00BB0B84">
      <w:pPr>
        <w:pStyle w:val="BodyText"/>
        <w:ind w:right="282"/>
        <w:rPr>
          <w:rFonts w:ascii="Times New Roman"/>
          <w:sz w:val="20"/>
        </w:rPr>
      </w:pPr>
    </w:p>
    <w:p w14:paraId="6656D0D7" w14:textId="77777777" w:rsidR="00C15762" w:rsidRDefault="00C15762" w:rsidP="00BB0B84">
      <w:pPr>
        <w:pStyle w:val="BodyText"/>
        <w:ind w:right="282"/>
        <w:rPr>
          <w:rFonts w:ascii="Times New Roman"/>
          <w:sz w:val="20"/>
        </w:rPr>
      </w:pPr>
    </w:p>
    <w:p w14:paraId="2B96B2BB" w14:textId="77777777" w:rsidR="00C15762" w:rsidRDefault="00C15762" w:rsidP="00BB0B84">
      <w:pPr>
        <w:pStyle w:val="BodyText"/>
        <w:ind w:right="282"/>
        <w:rPr>
          <w:rFonts w:ascii="Times New Roman"/>
          <w:sz w:val="20"/>
        </w:rPr>
      </w:pPr>
    </w:p>
    <w:p w14:paraId="4F53759E" w14:textId="77777777" w:rsidR="00C15762" w:rsidRDefault="00C15762" w:rsidP="00BB0B84">
      <w:pPr>
        <w:pStyle w:val="BodyText"/>
        <w:ind w:right="282"/>
        <w:rPr>
          <w:rFonts w:ascii="Times New Roman"/>
          <w:sz w:val="20"/>
        </w:rPr>
      </w:pPr>
    </w:p>
    <w:p w14:paraId="4FD40564" w14:textId="77777777" w:rsidR="00C15762" w:rsidRDefault="00C15762" w:rsidP="00BB0B84">
      <w:pPr>
        <w:pStyle w:val="BodyText"/>
        <w:ind w:right="282"/>
        <w:rPr>
          <w:rFonts w:ascii="Times New Roman"/>
          <w:sz w:val="20"/>
        </w:rPr>
      </w:pPr>
    </w:p>
    <w:p w14:paraId="13DFA2C0" w14:textId="77777777" w:rsidR="00C15762" w:rsidRDefault="00C15762" w:rsidP="00BB0B84">
      <w:pPr>
        <w:pStyle w:val="BodyText"/>
        <w:ind w:right="282"/>
        <w:rPr>
          <w:rFonts w:ascii="Times New Roman"/>
          <w:sz w:val="20"/>
        </w:rPr>
      </w:pPr>
    </w:p>
    <w:p w14:paraId="057355ED" w14:textId="77777777" w:rsidR="00C15762" w:rsidRDefault="00C15762" w:rsidP="00BB0B84">
      <w:pPr>
        <w:pStyle w:val="BodyText"/>
        <w:spacing w:before="10"/>
        <w:ind w:right="282"/>
        <w:rPr>
          <w:rFonts w:ascii="Times New Roman"/>
          <w:sz w:val="26"/>
        </w:rPr>
      </w:pPr>
    </w:p>
    <w:p w14:paraId="34B42516" w14:textId="77777777" w:rsidR="00C15762" w:rsidRDefault="00C15762" w:rsidP="00BB0B84">
      <w:pPr>
        <w:pStyle w:val="BodyText"/>
        <w:ind w:left="3571" w:right="282"/>
        <w:rPr>
          <w:rFonts w:ascii="Times New Roman"/>
          <w:sz w:val="20"/>
        </w:rPr>
      </w:pPr>
    </w:p>
    <w:p w14:paraId="7DFF9B79" w14:textId="77777777" w:rsidR="00C15762" w:rsidRDefault="00C15762" w:rsidP="00BB0B84">
      <w:pPr>
        <w:pStyle w:val="BodyText"/>
        <w:ind w:right="282"/>
        <w:rPr>
          <w:rFonts w:ascii="Times New Roman"/>
          <w:sz w:val="20"/>
        </w:rPr>
      </w:pPr>
    </w:p>
    <w:p w14:paraId="51FC7308" w14:textId="77777777" w:rsidR="00C15762" w:rsidRDefault="00C15762" w:rsidP="00BB0B84">
      <w:pPr>
        <w:pStyle w:val="BodyText"/>
        <w:spacing w:before="3"/>
        <w:ind w:right="282"/>
        <w:rPr>
          <w:rFonts w:ascii="Times New Roman"/>
          <w:sz w:val="18"/>
        </w:rPr>
      </w:pPr>
    </w:p>
    <w:p w14:paraId="5CD5E055" w14:textId="031E9A60" w:rsidR="000D00D8" w:rsidRDefault="00336D96" w:rsidP="00BB0B84">
      <w:pPr>
        <w:spacing w:before="113" w:line="278" w:lineRule="auto"/>
        <w:ind w:right="282" w:firstLine="2"/>
        <w:jc w:val="center"/>
        <w:rPr>
          <w:b/>
          <w:sz w:val="44"/>
          <w:szCs w:val="44"/>
        </w:rPr>
      </w:pPr>
      <w:r>
        <w:rPr>
          <w:b/>
          <w:sz w:val="44"/>
          <w:szCs w:val="44"/>
        </w:rPr>
        <w:t xml:space="preserve">INFURNIA HOLDINGS </w:t>
      </w:r>
      <w:r w:rsidR="000D00D8" w:rsidRPr="00C374E5">
        <w:rPr>
          <w:b/>
          <w:sz w:val="44"/>
          <w:szCs w:val="44"/>
        </w:rPr>
        <w:t xml:space="preserve">LIMITED </w:t>
      </w:r>
    </w:p>
    <w:p w14:paraId="140C0256" w14:textId="77777777" w:rsidR="000D00D8" w:rsidRPr="00C374E5" w:rsidRDefault="000D00D8" w:rsidP="00BB0B84">
      <w:pPr>
        <w:spacing w:before="113" w:line="278" w:lineRule="auto"/>
        <w:ind w:right="282" w:firstLine="2"/>
        <w:jc w:val="center"/>
        <w:rPr>
          <w:b/>
          <w:sz w:val="44"/>
          <w:szCs w:val="44"/>
        </w:rPr>
      </w:pPr>
    </w:p>
    <w:p w14:paraId="2BC24E79" w14:textId="77777777" w:rsidR="00C15762" w:rsidRPr="000D00D8" w:rsidRDefault="00C15762" w:rsidP="00BB0B84">
      <w:pPr>
        <w:pStyle w:val="BodyText"/>
        <w:spacing w:before="10"/>
        <w:ind w:right="282"/>
        <w:rPr>
          <w:rFonts w:ascii="Tahoma"/>
          <w:b/>
          <w:bCs/>
          <w:sz w:val="33"/>
        </w:rPr>
      </w:pPr>
    </w:p>
    <w:p w14:paraId="58493865" w14:textId="77777777" w:rsidR="00C15762" w:rsidRPr="000D00D8" w:rsidRDefault="00385391" w:rsidP="00B5662C">
      <w:pPr>
        <w:spacing w:before="1"/>
        <w:ind w:right="282"/>
        <w:jc w:val="center"/>
        <w:rPr>
          <w:rStyle w:val="Hyperlink"/>
          <w:b/>
          <w:bCs/>
          <w:color w:val="000000" w:themeColor="text1"/>
          <w:sz w:val="32"/>
          <w:u w:val="none"/>
        </w:rPr>
      </w:pPr>
      <w:r w:rsidRPr="000D00D8">
        <w:rPr>
          <w:rStyle w:val="Hyperlink"/>
          <w:b/>
          <w:bCs/>
          <w:color w:val="000000" w:themeColor="text1"/>
          <w:sz w:val="32"/>
          <w:u w:val="none"/>
        </w:rPr>
        <w:t>NOMINATION AND REMUNERATION POLICY</w:t>
      </w:r>
    </w:p>
    <w:p w14:paraId="0C055CA0" w14:textId="77777777" w:rsidR="00C15762" w:rsidRPr="000D00D8" w:rsidRDefault="00C15762" w:rsidP="00BB0B84">
      <w:pPr>
        <w:ind w:right="282"/>
        <w:jc w:val="center"/>
        <w:rPr>
          <w:rStyle w:val="Hyperlink"/>
          <w:b/>
          <w:color w:val="000000" w:themeColor="text1"/>
          <w:sz w:val="32"/>
          <w:u w:val="none"/>
        </w:rPr>
        <w:sectPr w:rsidR="00C15762" w:rsidRPr="000D00D8">
          <w:type w:val="continuous"/>
          <w:pgSz w:w="12240" w:h="15840"/>
          <w:pgMar w:top="1500" w:right="1140" w:bottom="280" w:left="1320" w:header="720" w:footer="720" w:gutter="0"/>
          <w:pgBorders w:offsetFrom="page">
            <w:top w:val="thickThinSmallGap" w:sz="24" w:space="25" w:color="000000"/>
            <w:left w:val="thickThinSmallGap" w:sz="24" w:space="25" w:color="000000"/>
            <w:bottom w:val="thinThickSmallGap" w:sz="24" w:space="25" w:color="000000"/>
            <w:right w:val="thinThickSmallGap" w:sz="24" w:space="25" w:color="000000"/>
          </w:pgBorders>
          <w:cols w:space="720"/>
        </w:sectPr>
      </w:pPr>
    </w:p>
    <w:p w14:paraId="44BF291C" w14:textId="77777777" w:rsidR="00C15762" w:rsidRDefault="00385391" w:rsidP="008D54BA">
      <w:pPr>
        <w:pStyle w:val="Heading2"/>
        <w:spacing w:before="88"/>
        <w:ind w:left="0" w:right="-1"/>
        <w:jc w:val="center"/>
      </w:pPr>
      <w:r>
        <w:lastRenderedPageBreak/>
        <w:t>NOMINATION</w:t>
      </w:r>
      <w:r>
        <w:rPr>
          <w:spacing w:val="-4"/>
        </w:rPr>
        <w:t xml:space="preserve"> </w:t>
      </w:r>
      <w:r>
        <w:t>AND</w:t>
      </w:r>
      <w:r>
        <w:rPr>
          <w:spacing w:val="-6"/>
        </w:rPr>
        <w:t xml:space="preserve"> </w:t>
      </w:r>
      <w:r>
        <w:t>REMUNERATION</w:t>
      </w:r>
      <w:r>
        <w:rPr>
          <w:spacing w:val="-4"/>
        </w:rPr>
        <w:t xml:space="preserve"> </w:t>
      </w:r>
      <w:r>
        <w:t>POLICY</w:t>
      </w:r>
    </w:p>
    <w:p w14:paraId="7498FFD8" w14:textId="77777777" w:rsidR="00C15762" w:rsidRDefault="00C15762" w:rsidP="00BB0B84">
      <w:pPr>
        <w:pStyle w:val="BodyText"/>
        <w:spacing w:before="5"/>
        <w:ind w:right="282"/>
        <w:rPr>
          <w:b/>
          <w:sz w:val="20"/>
        </w:rPr>
      </w:pPr>
    </w:p>
    <w:p w14:paraId="2C9BF828" w14:textId="77777777" w:rsidR="00385391" w:rsidRDefault="00385391" w:rsidP="00385391">
      <w:pPr>
        <w:pStyle w:val="Heading2"/>
        <w:ind w:right="282"/>
      </w:pPr>
      <w:r>
        <w:t>Purpose of this Policy:</w:t>
      </w:r>
    </w:p>
    <w:p w14:paraId="768BE594" w14:textId="77777777" w:rsidR="00385391" w:rsidRDefault="00385391" w:rsidP="00385391">
      <w:pPr>
        <w:pStyle w:val="Heading2"/>
        <w:ind w:right="282"/>
      </w:pPr>
    </w:p>
    <w:p w14:paraId="6FF350CE" w14:textId="082DFA62" w:rsidR="00385391" w:rsidRDefault="00336D96" w:rsidP="00385391">
      <w:pPr>
        <w:pStyle w:val="Heading2"/>
        <w:ind w:right="282"/>
        <w:jc w:val="both"/>
        <w:rPr>
          <w:b w:val="0"/>
          <w:bCs w:val="0"/>
        </w:rPr>
      </w:pPr>
      <w:r>
        <w:rPr>
          <w:b w:val="0"/>
          <w:bCs w:val="0"/>
        </w:rPr>
        <w:t>Infurnia Holdings</w:t>
      </w:r>
      <w:r w:rsidR="00385391" w:rsidRPr="00385391">
        <w:rPr>
          <w:b w:val="0"/>
          <w:bCs w:val="0"/>
        </w:rPr>
        <w:t xml:space="preserve"> Limited (“Company”) </w:t>
      </w:r>
      <w:r w:rsidR="002D5F37">
        <w:rPr>
          <w:b w:val="0"/>
          <w:bCs w:val="0"/>
        </w:rPr>
        <w:t xml:space="preserve">(previously known as Infurnia Furnishings Private Limited) </w:t>
      </w:r>
      <w:r w:rsidR="00385391" w:rsidRPr="00385391">
        <w:rPr>
          <w:b w:val="0"/>
          <w:bCs w:val="0"/>
        </w:rPr>
        <w:t>has adopted this Policy on appointment and remuneration of the Directors, Key Managerial Personnel and Senior Management (the “Policy”) as required by the provisions of Section 178 of the Companies Act, 2013 (the “Act”) and the provisions of Securities and Exchange Board of India (Listing Obligations and Disclosure Requirements) Regulations, 2015 as amended from time to time.</w:t>
      </w:r>
    </w:p>
    <w:p w14:paraId="646FDA5B" w14:textId="77777777" w:rsidR="00385391" w:rsidRDefault="00385391" w:rsidP="00385391">
      <w:pPr>
        <w:pStyle w:val="Heading2"/>
        <w:ind w:right="282"/>
        <w:jc w:val="both"/>
        <w:rPr>
          <w:b w:val="0"/>
          <w:bCs w:val="0"/>
        </w:rPr>
      </w:pPr>
    </w:p>
    <w:p w14:paraId="3218C813" w14:textId="77777777" w:rsidR="00385391" w:rsidRDefault="00385391" w:rsidP="00385391">
      <w:pPr>
        <w:pStyle w:val="Heading2"/>
        <w:ind w:right="282"/>
        <w:jc w:val="both"/>
        <w:rPr>
          <w:b w:val="0"/>
          <w:bCs w:val="0"/>
        </w:rPr>
      </w:pPr>
      <w:r w:rsidRPr="00385391">
        <w:rPr>
          <w:b w:val="0"/>
          <w:bCs w:val="0"/>
        </w:rPr>
        <w:t>The purpose of this Policy is to establish and govern the procedure applicable:</w:t>
      </w:r>
    </w:p>
    <w:p w14:paraId="7BC053C5" w14:textId="77777777" w:rsidR="00385391" w:rsidRDefault="00385391" w:rsidP="00385391">
      <w:pPr>
        <w:pStyle w:val="Heading2"/>
        <w:ind w:right="282"/>
        <w:jc w:val="both"/>
        <w:rPr>
          <w:b w:val="0"/>
          <w:bCs w:val="0"/>
        </w:rPr>
      </w:pPr>
    </w:p>
    <w:p w14:paraId="1C5AA8BA" w14:textId="77777777" w:rsidR="00385391" w:rsidRDefault="00385391" w:rsidP="00385391">
      <w:pPr>
        <w:pStyle w:val="Heading2"/>
        <w:numPr>
          <w:ilvl w:val="0"/>
          <w:numId w:val="8"/>
        </w:numPr>
        <w:ind w:right="282"/>
        <w:jc w:val="both"/>
        <w:rPr>
          <w:b w:val="0"/>
          <w:bCs w:val="0"/>
        </w:rPr>
      </w:pPr>
      <w:r w:rsidRPr="00385391">
        <w:rPr>
          <w:b w:val="0"/>
          <w:bCs w:val="0"/>
        </w:rPr>
        <w:t xml:space="preserve">To evaluate the performance of the members of the Board. </w:t>
      </w:r>
    </w:p>
    <w:p w14:paraId="5D079A4C" w14:textId="77777777" w:rsidR="00385391" w:rsidRDefault="00385391" w:rsidP="00385391">
      <w:pPr>
        <w:pStyle w:val="Heading2"/>
        <w:numPr>
          <w:ilvl w:val="0"/>
          <w:numId w:val="8"/>
        </w:numPr>
        <w:ind w:right="282"/>
        <w:jc w:val="both"/>
        <w:rPr>
          <w:b w:val="0"/>
          <w:bCs w:val="0"/>
        </w:rPr>
      </w:pPr>
      <w:r w:rsidRPr="00385391">
        <w:rPr>
          <w:b w:val="0"/>
          <w:bCs w:val="0"/>
        </w:rPr>
        <w:t xml:space="preserve">To ensure remuneration to Directors, KMP and Senior Management involves a balance between fixed and incentive pay reflecting short and long-term performance objectives appropriate to the working of the Company and its goals. </w:t>
      </w:r>
    </w:p>
    <w:p w14:paraId="07B72E54" w14:textId="77777777" w:rsidR="00385391" w:rsidRDefault="00385391" w:rsidP="00385391">
      <w:pPr>
        <w:pStyle w:val="Heading2"/>
        <w:numPr>
          <w:ilvl w:val="0"/>
          <w:numId w:val="8"/>
        </w:numPr>
        <w:ind w:right="282"/>
        <w:jc w:val="both"/>
        <w:rPr>
          <w:b w:val="0"/>
          <w:bCs w:val="0"/>
        </w:rPr>
      </w:pPr>
      <w:r w:rsidRPr="00385391">
        <w:rPr>
          <w:b w:val="0"/>
          <w:bCs w:val="0"/>
        </w:rPr>
        <w:t xml:space="preserve">To retain, motivate and promote talent and to ensure long term sustainability of talented managerial persons and create competitive advantage. </w:t>
      </w:r>
    </w:p>
    <w:p w14:paraId="19790264" w14:textId="77777777" w:rsidR="00385391" w:rsidRDefault="00385391" w:rsidP="00385391">
      <w:pPr>
        <w:pStyle w:val="Heading2"/>
        <w:ind w:right="282"/>
        <w:jc w:val="both"/>
        <w:rPr>
          <w:b w:val="0"/>
          <w:bCs w:val="0"/>
        </w:rPr>
      </w:pPr>
    </w:p>
    <w:p w14:paraId="525D80CE" w14:textId="77777777" w:rsidR="00385391" w:rsidRPr="00385391" w:rsidRDefault="00385391" w:rsidP="00385391">
      <w:pPr>
        <w:pStyle w:val="Heading2"/>
        <w:ind w:right="282"/>
        <w:jc w:val="both"/>
        <w:rPr>
          <w:b w:val="0"/>
          <w:bCs w:val="0"/>
        </w:rPr>
      </w:pPr>
      <w:r w:rsidRPr="00385391">
        <w:rPr>
          <w:b w:val="0"/>
          <w:bCs w:val="0"/>
        </w:rPr>
        <w:t>The Committee should ensure that the level and composition of remuneration is reasonable and sufficient to attract, retain and motivate Directors of the quality required to run the Company successfully and the relationship of remuneration to performance is clear and meets appropriate performance benchmarks.</w:t>
      </w:r>
    </w:p>
    <w:p w14:paraId="68234DCD" w14:textId="77777777" w:rsidR="00385391" w:rsidRDefault="00385391" w:rsidP="00BB0B84">
      <w:pPr>
        <w:pStyle w:val="BodyText"/>
        <w:spacing w:line="255" w:lineRule="exact"/>
        <w:ind w:left="120" w:right="282"/>
        <w:jc w:val="both"/>
      </w:pPr>
    </w:p>
    <w:p w14:paraId="2D6CB20D" w14:textId="77777777" w:rsidR="00C15762" w:rsidRDefault="00385391" w:rsidP="00385391">
      <w:pPr>
        <w:pStyle w:val="Heading2"/>
        <w:ind w:left="142" w:right="282"/>
      </w:pPr>
      <w:bookmarkStart w:id="0" w:name="Definitions:"/>
      <w:bookmarkEnd w:id="0"/>
      <w:r>
        <w:t>Definitions:</w:t>
      </w:r>
    </w:p>
    <w:p w14:paraId="3DF76AE0" w14:textId="77777777" w:rsidR="00C15762" w:rsidRDefault="00C15762" w:rsidP="00BB0B84">
      <w:pPr>
        <w:pStyle w:val="BodyText"/>
        <w:spacing w:before="2"/>
        <w:ind w:right="282"/>
        <w:rPr>
          <w:b/>
          <w:sz w:val="21"/>
        </w:rPr>
      </w:pPr>
    </w:p>
    <w:p w14:paraId="57CBD828" w14:textId="77777777" w:rsidR="000D00D8" w:rsidRDefault="000D00D8" w:rsidP="00BB0B84">
      <w:pPr>
        <w:pStyle w:val="BodyText"/>
        <w:spacing w:before="2"/>
        <w:ind w:left="142" w:right="282"/>
        <w:jc w:val="both"/>
        <w:rPr>
          <w:b/>
          <w:sz w:val="21"/>
        </w:rPr>
      </w:pPr>
      <w:r>
        <w:rPr>
          <w:b/>
          <w:sz w:val="21"/>
        </w:rPr>
        <w:t xml:space="preserve">“Independent Directors” </w:t>
      </w:r>
      <w:r>
        <w:t>means a director referred to in Section 149(6) of the Act and the SEBI (Listing Obligations and Disclosure Requirements) Regulations, 2015, as amended from time to time</w:t>
      </w:r>
    </w:p>
    <w:p w14:paraId="42306CFE" w14:textId="77777777" w:rsidR="000D00D8" w:rsidRDefault="000D00D8" w:rsidP="00BB0B84">
      <w:pPr>
        <w:pStyle w:val="BodyText"/>
        <w:spacing w:before="2"/>
        <w:ind w:right="282"/>
        <w:rPr>
          <w:b/>
          <w:sz w:val="21"/>
        </w:rPr>
      </w:pPr>
    </w:p>
    <w:p w14:paraId="56D22CC8" w14:textId="77777777" w:rsidR="00385391" w:rsidRDefault="00385391" w:rsidP="00385391">
      <w:pPr>
        <w:pStyle w:val="BodyText"/>
        <w:spacing w:before="2"/>
        <w:ind w:left="142" w:right="282"/>
        <w:jc w:val="both"/>
        <w:rPr>
          <w:b/>
          <w:sz w:val="21"/>
        </w:rPr>
      </w:pPr>
      <w:r w:rsidRPr="00385391">
        <w:rPr>
          <w:b/>
          <w:bCs/>
        </w:rPr>
        <w:t>“Nomination and Remuneration Committee</w:t>
      </w:r>
      <w:r>
        <w:t>” (“the Committee”), by whatever name called, shall mean a Committee of Board of Directors of the Company, constituted in accordance with the provisions of Section 178 of the Act and the SEBI (Listing Obligations and Disclosure Requirements) Regulations, 2015, as amended from time to time</w:t>
      </w:r>
    </w:p>
    <w:p w14:paraId="580CCCB2" w14:textId="77777777" w:rsidR="00385391" w:rsidRDefault="00385391" w:rsidP="00BB0B84">
      <w:pPr>
        <w:pStyle w:val="BodyText"/>
        <w:spacing w:before="2"/>
        <w:ind w:right="282"/>
        <w:rPr>
          <w:b/>
          <w:sz w:val="21"/>
        </w:rPr>
      </w:pPr>
    </w:p>
    <w:p w14:paraId="7E15B2E9" w14:textId="77777777" w:rsidR="00C15762" w:rsidRDefault="00385391" w:rsidP="00BB0B84">
      <w:pPr>
        <w:pStyle w:val="BodyText"/>
        <w:ind w:left="120" w:right="282"/>
        <w:jc w:val="both"/>
      </w:pPr>
      <w:r>
        <w:t>“</w:t>
      </w:r>
      <w:r w:rsidRPr="00385391">
        <w:rPr>
          <w:b/>
          <w:bCs/>
        </w:rPr>
        <w:t>Remuneration</w:t>
      </w:r>
      <w:r>
        <w:t>” means any money or its equivalent given or passed to any person for services</w:t>
      </w:r>
      <w:r>
        <w:rPr>
          <w:spacing w:val="-64"/>
        </w:rPr>
        <w:t xml:space="preserve"> </w:t>
      </w:r>
      <w:r>
        <w:t>rendered</w:t>
      </w:r>
      <w:r>
        <w:rPr>
          <w:spacing w:val="-3"/>
        </w:rPr>
        <w:t xml:space="preserve"> </w:t>
      </w:r>
      <w:r>
        <w:t>by</w:t>
      </w:r>
      <w:r>
        <w:rPr>
          <w:spacing w:val="-2"/>
        </w:rPr>
        <w:t xml:space="preserve"> </w:t>
      </w:r>
      <w:r>
        <w:t>him</w:t>
      </w:r>
      <w:r>
        <w:rPr>
          <w:spacing w:val="-2"/>
        </w:rPr>
        <w:t xml:space="preserve"> </w:t>
      </w:r>
      <w:r>
        <w:t>and</w:t>
      </w:r>
      <w:r>
        <w:rPr>
          <w:spacing w:val="-2"/>
        </w:rPr>
        <w:t xml:space="preserve"> </w:t>
      </w:r>
      <w:r>
        <w:t>includes</w:t>
      </w:r>
      <w:r>
        <w:rPr>
          <w:spacing w:val="-1"/>
        </w:rPr>
        <w:t xml:space="preserve"> </w:t>
      </w:r>
      <w:r>
        <w:t>perquisites</w:t>
      </w:r>
      <w:r>
        <w:rPr>
          <w:spacing w:val="-2"/>
        </w:rPr>
        <w:t xml:space="preserve"> </w:t>
      </w:r>
      <w:r>
        <w:t>as</w:t>
      </w:r>
      <w:r>
        <w:rPr>
          <w:spacing w:val="-1"/>
        </w:rPr>
        <w:t xml:space="preserve"> </w:t>
      </w:r>
      <w:r>
        <w:t>defined</w:t>
      </w:r>
      <w:r>
        <w:rPr>
          <w:spacing w:val="-2"/>
        </w:rPr>
        <w:t xml:space="preserve"> </w:t>
      </w:r>
      <w:r>
        <w:t>under the</w:t>
      </w:r>
      <w:r>
        <w:rPr>
          <w:spacing w:val="-2"/>
        </w:rPr>
        <w:t xml:space="preserve"> </w:t>
      </w:r>
      <w:r>
        <w:t>Income-tax</w:t>
      </w:r>
      <w:r>
        <w:rPr>
          <w:spacing w:val="-2"/>
        </w:rPr>
        <w:t xml:space="preserve"> </w:t>
      </w:r>
      <w:r>
        <w:t xml:space="preserve">Act, </w:t>
      </w:r>
      <w:proofErr w:type="gramStart"/>
      <w:r>
        <w:t>1961;</w:t>
      </w:r>
      <w:proofErr w:type="gramEnd"/>
    </w:p>
    <w:p w14:paraId="217D8437" w14:textId="77777777" w:rsidR="00C15762" w:rsidRDefault="00C15762" w:rsidP="00BB0B84">
      <w:pPr>
        <w:pStyle w:val="BodyText"/>
        <w:spacing w:before="7"/>
        <w:ind w:right="282"/>
        <w:rPr>
          <w:sz w:val="21"/>
        </w:rPr>
      </w:pPr>
    </w:p>
    <w:p w14:paraId="6745F749" w14:textId="3906051B" w:rsidR="00C15762" w:rsidRDefault="00385391" w:rsidP="00BB0B84">
      <w:pPr>
        <w:pStyle w:val="BodyText"/>
        <w:ind w:left="120" w:right="282"/>
      </w:pPr>
      <w:r>
        <w:t>“</w:t>
      </w:r>
      <w:r w:rsidRPr="00385391">
        <w:rPr>
          <w:b/>
          <w:bCs/>
        </w:rPr>
        <w:t>Key</w:t>
      </w:r>
      <w:r w:rsidRPr="00385391">
        <w:rPr>
          <w:b/>
          <w:bCs/>
          <w:spacing w:val="-5"/>
        </w:rPr>
        <w:t xml:space="preserve"> </w:t>
      </w:r>
      <w:r w:rsidRPr="00385391">
        <w:rPr>
          <w:b/>
          <w:bCs/>
        </w:rPr>
        <w:t>Managerial</w:t>
      </w:r>
      <w:r w:rsidRPr="00385391">
        <w:rPr>
          <w:b/>
          <w:bCs/>
          <w:spacing w:val="-3"/>
        </w:rPr>
        <w:t xml:space="preserve"> </w:t>
      </w:r>
      <w:r w:rsidR="00907A8C" w:rsidRPr="00385391">
        <w:rPr>
          <w:b/>
          <w:bCs/>
        </w:rPr>
        <w:t>Personnel</w:t>
      </w:r>
      <w:r w:rsidR="00907A8C">
        <w:t>”</w:t>
      </w:r>
      <w:r w:rsidR="00907A8C">
        <w:rPr>
          <w:spacing w:val="-3"/>
        </w:rPr>
        <w:t xml:space="preserve"> (</w:t>
      </w:r>
      <w:r w:rsidR="000D00D8">
        <w:rPr>
          <w:spacing w:val="-3"/>
        </w:rPr>
        <w:t>the “KMP</w:t>
      </w:r>
      <w:r w:rsidR="00907A8C">
        <w:rPr>
          <w:spacing w:val="-3"/>
        </w:rPr>
        <w:t>”) shall</w:t>
      </w:r>
      <w:r w:rsidR="000D00D8">
        <w:t xml:space="preserve"> mean “Key Managerial Personnel” as defined in Section 2(51) of the Act.</w:t>
      </w:r>
    </w:p>
    <w:p w14:paraId="022CAC66" w14:textId="77777777" w:rsidR="00C15762" w:rsidRDefault="00C15762" w:rsidP="00BB0B84">
      <w:pPr>
        <w:pStyle w:val="BodyText"/>
        <w:spacing w:before="4"/>
        <w:ind w:right="282"/>
        <w:rPr>
          <w:sz w:val="20"/>
        </w:rPr>
      </w:pPr>
    </w:p>
    <w:p w14:paraId="06DE88B8" w14:textId="77777777" w:rsidR="00C15762" w:rsidRDefault="00385391" w:rsidP="00BB0B84">
      <w:pPr>
        <w:pStyle w:val="BodyText"/>
        <w:spacing w:line="276" w:lineRule="auto"/>
        <w:ind w:left="120" w:right="282"/>
        <w:jc w:val="both"/>
      </w:pPr>
      <w:r w:rsidRPr="00385391">
        <w:rPr>
          <w:b/>
          <w:bCs/>
        </w:rPr>
        <w:t>“Senior Managerial Personnel/ Senior Management”</w:t>
      </w:r>
      <w:r>
        <w:t xml:space="preserve"> mean the personnel of the company who are members of its</w:t>
      </w:r>
      <w:r>
        <w:rPr>
          <w:spacing w:val="1"/>
        </w:rPr>
        <w:t xml:space="preserve"> </w:t>
      </w:r>
      <w:r>
        <w:t>core management</w:t>
      </w:r>
      <w:r>
        <w:rPr>
          <w:spacing w:val="1"/>
        </w:rPr>
        <w:t xml:space="preserve"> </w:t>
      </w:r>
      <w:r>
        <w:t>team</w:t>
      </w:r>
      <w:r>
        <w:rPr>
          <w:spacing w:val="1"/>
        </w:rPr>
        <w:t xml:space="preserve"> </w:t>
      </w:r>
      <w:r>
        <w:t>excluding Board of Directors. Normally, this</w:t>
      </w:r>
      <w:r>
        <w:rPr>
          <w:spacing w:val="1"/>
        </w:rPr>
        <w:t xml:space="preserve"> </w:t>
      </w:r>
      <w:r>
        <w:t>would</w:t>
      </w:r>
      <w:r>
        <w:rPr>
          <w:spacing w:val="1"/>
        </w:rPr>
        <w:t xml:space="preserve"> </w:t>
      </w:r>
      <w:r>
        <w:t>comprise all</w:t>
      </w:r>
      <w:r>
        <w:rPr>
          <w:spacing w:val="1"/>
        </w:rPr>
        <w:t xml:space="preserve"> </w:t>
      </w:r>
      <w:r>
        <w:t>members of management</w:t>
      </w:r>
      <w:r w:rsidR="000D00D8">
        <w:t xml:space="preserve"> one level below the Executive Directors,</w:t>
      </w:r>
      <w:r>
        <w:t xml:space="preserve"> including all</w:t>
      </w:r>
      <w:r>
        <w:rPr>
          <w:spacing w:val="1"/>
        </w:rPr>
        <w:t xml:space="preserve"> </w:t>
      </w:r>
      <w:r>
        <w:t>functional</w:t>
      </w:r>
      <w:r>
        <w:rPr>
          <w:spacing w:val="-1"/>
        </w:rPr>
        <w:t xml:space="preserve"> </w:t>
      </w:r>
      <w:r>
        <w:t>heads.</w:t>
      </w:r>
    </w:p>
    <w:p w14:paraId="222FAF26" w14:textId="77777777" w:rsidR="00385391" w:rsidRDefault="00385391" w:rsidP="00BB0B84">
      <w:pPr>
        <w:pStyle w:val="BodyText"/>
        <w:spacing w:line="276" w:lineRule="auto"/>
        <w:ind w:left="120" w:right="282"/>
        <w:jc w:val="both"/>
      </w:pPr>
    </w:p>
    <w:p w14:paraId="1A5F0709" w14:textId="77777777" w:rsidR="00385391" w:rsidRDefault="00385391" w:rsidP="00385391">
      <w:pPr>
        <w:pStyle w:val="Heading2"/>
        <w:spacing w:before="3"/>
        <w:ind w:right="282"/>
        <w:jc w:val="both"/>
      </w:pPr>
      <w:r>
        <w:t>Composition</w:t>
      </w:r>
      <w:r>
        <w:rPr>
          <w:spacing w:val="-3"/>
        </w:rPr>
        <w:t xml:space="preserve"> </w:t>
      </w:r>
      <w:r>
        <w:t>of</w:t>
      </w:r>
      <w:r>
        <w:rPr>
          <w:spacing w:val="-2"/>
        </w:rPr>
        <w:t xml:space="preserve"> </w:t>
      </w:r>
      <w:r>
        <w:t>the</w:t>
      </w:r>
      <w:r>
        <w:rPr>
          <w:spacing w:val="-3"/>
        </w:rPr>
        <w:t xml:space="preserve"> </w:t>
      </w:r>
      <w:r>
        <w:t>Committee:</w:t>
      </w:r>
    </w:p>
    <w:p w14:paraId="4A9D9E60" w14:textId="77777777" w:rsidR="00385391" w:rsidRDefault="00385391" w:rsidP="00385391">
      <w:pPr>
        <w:pStyle w:val="Heading2"/>
        <w:spacing w:before="3"/>
        <w:ind w:right="282"/>
        <w:jc w:val="both"/>
      </w:pPr>
    </w:p>
    <w:p w14:paraId="1BD1B09E" w14:textId="77777777" w:rsidR="00385391" w:rsidRPr="00385391" w:rsidRDefault="00385391" w:rsidP="00385391">
      <w:pPr>
        <w:pStyle w:val="Heading2"/>
        <w:spacing w:before="3"/>
        <w:ind w:right="282"/>
        <w:jc w:val="both"/>
        <w:rPr>
          <w:b w:val="0"/>
          <w:bCs w:val="0"/>
        </w:rPr>
      </w:pPr>
      <w:r w:rsidRPr="00385391">
        <w:rPr>
          <w:b w:val="0"/>
          <w:bCs w:val="0"/>
        </w:rPr>
        <w:t xml:space="preserve">The composition of the Committee is / shall </w:t>
      </w:r>
      <w:proofErr w:type="gramStart"/>
      <w:r w:rsidRPr="00385391">
        <w:rPr>
          <w:b w:val="0"/>
          <w:bCs w:val="0"/>
        </w:rPr>
        <w:t>be in compliance with</w:t>
      </w:r>
      <w:proofErr w:type="gramEnd"/>
      <w:r w:rsidRPr="00385391">
        <w:rPr>
          <w:b w:val="0"/>
          <w:bCs w:val="0"/>
        </w:rPr>
        <w:t xml:space="preserve"> the provisions of Section 178 of the Act and the provisions of Securities and Exchange Board of India (Listing Obligations and Disclosure Requirements) Regulations, 2015 as amended from time to time.</w:t>
      </w:r>
    </w:p>
    <w:p w14:paraId="56715033" w14:textId="77777777" w:rsidR="00385391" w:rsidRDefault="00385391" w:rsidP="00BB0B84">
      <w:pPr>
        <w:pStyle w:val="BodyText"/>
        <w:spacing w:line="276" w:lineRule="auto"/>
        <w:ind w:left="120" w:right="282"/>
        <w:jc w:val="both"/>
      </w:pPr>
    </w:p>
    <w:p w14:paraId="541E9436" w14:textId="77777777" w:rsidR="00385391" w:rsidRDefault="00385391" w:rsidP="00BB0B84">
      <w:pPr>
        <w:pStyle w:val="BodyText"/>
        <w:spacing w:line="276" w:lineRule="auto"/>
        <w:ind w:left="120" w:right="282"/>
        <w:jc w:val="both"/>
      </w:pPr>
    </w:p>
    <w:p w14:paraId="3428B3BC" w14:textId="77777777" w:rsidR="00C15762" w:rsidRDefault="00385391" w:rsidP="00BB0B84">
      <w:pPr>
        <w:pStyle w:val="Heading2"/>
        <w:spacing w:before="3"/>
        <w:ind w:right="282"/>
        <w:jc w:val="both"/>
      </w:pPr>
      <w:bookmarkStart w:id="1" w:name="Objective:"/>
      <w:bookmarkStart w:id="2" w:name="Role_of_the_Committee:"/>
      <w:bookmarkEnd w:id="1"/>
      <w:bookmarkEnd w:id="2"/>
      <w:r>
        <w:t>Role</w:t>
      </w:r>
      <w:r>
        <w:rPr>
          <w:spacing w:val="-3"/>
        </w:rPr>
        <w:t xml:space="preserve"> </w:t>
      </w:r>
      <w:r>
        <w:t>of</w:t>
      </w:r>
      <w:r>
        <w:rPr>
          <w:spacing w:val="-2"/>
        </w:rPr>
        <w:t xml:space="preserve"> </w:t>
      </w:r>
      <w:r>
        <w:t>the</w:t>
      </w:r>
      <w:r>
        <w:rPr>
          <w:spacing w:val="-3"/>
        </w:rPr>
        <w:t xml:space="preserve"> </w:t>
      </w:r>
      <w:r>
        <w:t>Committee:</w:t>
      </w:r>
    </w:p>
    <w:p w14:paraId="1883FE27" w14:textId="77777777" w:rsidR="00C15762" w:rsidRDefault="00C15762" w:rsidP="00BB0B84">
      <w:pPr>
        <w:pStyle w:val="BodyText"/>
        <w:spacing w:before="9"/>
        <w:ind w:right="282"/>
        <w:rPr>
          <w:b/>
          <w:sz w:val="20"/>
        </w:rPr>
      </w:pPr>
    </w:p>
    <w:p w14:paraId="1AB9E341" w14:textId="77777777" w:rsidR="00C15762" w:rsidRDefault="00BB0B84" w:rsidP="00BB0B84">
      <w:pPr>
        <w:pStyle w:val="BodyText"/>
        <w:ind w:left="120" w:right="282"/>
        <w:jc w:val="both"/>
      </w:pPr>
      <w:r>
        <w:t>The Committee shall:</w:t>
      </w:r>
    </w:p>
    <w:p w14:paraId="684FFA38" w14:textId="77777777" w:rsidR="00C15762" w:rsidRDefault="00C15762" w:rsidP="00BB0B84">
      <w:pPr>
        <w:pStyle w:val="BodyText"/>
        <w:spacing w:before="2"/>
        <w:ind w:right="282"/>
        <w:rPr>
          <w:sz w:val="20"/>
        </w:rPr>
      </w:pPr>
    </w:p>
    <w:p w14:paraId="5F3F2CBB" w14:textId="77777777" w:rsidR="00C15762" w:rsidRDefault="00BB0B84" w:rsidP="00385391">
      <w:pPr>
        <w:pStyle w:val="ListParagraph"/>
        <w:numPr>
          <w:ilvl w:val="0"/>
          <w:numId w:val="5"/>
        </w:numPr>
        <w:ind w:left="709" w:right="282" w:hanging="567"/>
      </w:pPr>
      <w:r>
        <w:t>F</w:t>
      </w:r>
      <w:r w:rsidR="00385391">
        <w:t>ormulate criteria for</w:t>
      </w:r>
      <w:r w:rsidR="00385391">
        <w:rPr>
          <w:spacing w:val="1"/>
        </w:rPr>
        <w:t xml:space="preserve"> </w:t>
      </w:r>
      <w:r w:rsidR="00385391">
        <w:t>determining qualifications,</w:t>
      </w:r>
      <w:r w:rsidR="00385391">
        <w:rPr>
          <w:spacing w:val="66"/>
        </w:rPr>
        <w:t xml:space="preserve"> </w:t>
      </w:r>
      <w:r w:rsidR="00385391">
        <w:t>positive attributes and independence</w:t>
      </w:r>
      <w:r w:rsidR="00385391">
        <w:rPr>
          <w:spacing w:val="1"/>
        </w:rPr>
        <w:t xml:space="preserve"> </w:t>
      </w:r>
      <w:r w:rsidR="00385391">
        <w:t>of</w:t>
      </w:r>
      <w:r w:rsidR="00385391">
        <w:rPr>
          <w:spacing w:val="-1"/>
        </w:rPr>
        <w:t xml:space="preserve"> </w:t>
      </w:r>
      <w:r w:rsidR="00385391">
        <w:t xml:space="preserve">a </w:t>
      </w:r>
      <w:proofErr w:type="gramStart"/>
      <w:r w:rsidR="00385391">
        <w:t>Director</w:t>
      </w:r>
      <w:proofErr w:type="gramEnd"/>
      <w:r w:rsidR="00385391">
        <w:t>.</w:t>
      </w:r>
    </w:p>
    <w:p w14:paraId="15A3DB7A" w14:textId="77777777" w:rsidR="00385391" w:rsidRDefault="00385391" w:rsidP="00385391">
      <w:pPr>
        <w:pStyle w:val="ListParagraph"/>
        <w:ind w:left="709" w:right="282"/>
      </w:pPr>
    </w:p>
    <w:p w14:paraId="4A278D1E" w14:textId="77777777" w:rsidR="00C15762" w:rsidRDefault="00BB0B84" w:rsidP="00385391">
      <w:pPr>
        <w:pStyle w:val="ListParagraph"/>
        <w:numPr>
          <w:ilvl w:val="0"/>
          <w:numId w:val="5"/>
        </w:numPr>
        <w:tabs>
          <w:tab w:val="left" w:pos="709"/>
        </w:tabs>
        <w:ind w:left="709" w:right="282" w:hanging="567"/>
      </w:pPr>
      <w:r>
        <w:t>F</w:t>
      </w:r>
      <w:r w:rsidR="00385391">
        <w:t>ormulate</w:t>
      </w:r>
      <w:r w:rsidR="00385391">
        <w:rPr>
          <w:spacing w:val="-2"/>
        </w:rPr>
        <w:t xml:space="preserve"> </w:t>
      </w:r>
      <w:r w:rsidR="00385391">
        <w:t>criteria</w:t>
      </w:r>
      <w:r w:rsidR="00385391">
        <w:rPr>
          <w:spacing w:val="-4"/>
        </w:rPr>
        <w:t xml:space="preserve"> </w:t>
      </w:r>
      <w:r w:rsidR="00385391">
        <w:t>for</w:t>
      </w:r>
      <w:r w:rsidR="00385391">
        <w:rPr>
          <w:spacing w:val="-4"/>
        </w:rPr>
        <w:t xml:space="preserve"> </w:t>
      </w:r>
      <w:r w:rsidR="00385391">
        <w:t>evaluation</w:t>
      </w:r>
      <w:r w:rsidR="00385391">
        <w:rPr>
          <w:spacing w:val="-3"/>
        </w:rPr>
        <w:t xml:space="preserve"> </w:t>
      </w:r>
      <w:r w:rsidR="00385391">
        <w:t>of</w:t>
      </w:r>
      <w:r w:rsidR="00385391">
        <w:rPr>
          <w:spacing w:val="-2"/>
        </w:rPr>
        <w:t xml:space="preserve"> </w:t>
      </w:r>
      <w:r w:rsidR="00385391">
        <w:t>Independent</w:t>
      </w:r>
      <w:r w:rsidR="00385391">
        <w:rPr>
          <w:spacing w:val="-4"/>
        </w:rPr>
        <w:t xml:space="preserve"> </w:t>
      </w:r>
      <w:r w:rsidR="00385391">
        <w:t>Directors</w:t>
      </w:r>
      <w:r w:rsidR="00385391">
        <w:rPr>
          <w:spacing w:val="-2"/>
        </w:rPr>
        <w:t xml:space="preserve"> </w:t>
      </w:r>
      <w:r w:rsidR="00385391">
        <w:t>and</w:t>
      </w:r>
      <w:r w:rsidR="00385391">
        <w:rPr>
          <w:spacing w:val="-1"/>
        </w:rPr>
        <w:t xml:space="preserve"> </w:t>
      </w:r>
      <w:r w:rsidR="00385391">
        <w:t>the</w:t>
      </w:r>
      <w:r w:rsidR="00385391">
        <w:rPr>
          <w:spacing w:val="-14"/>
        </w:rPr>
        <w:t xml:space="preserve"> </w:t>
      </w:r>
      <w:r w:rsidR="00385391">
        <w:t>Board.</w:t>
      </w:r>
    </w:p>
    <w:p w14:paraId="6A5DA1C5" w14:textId="77777777" w:rsidR="00385391" w:rsidRDefault="00385391" w:rsidP="00385391">
      <w:pPr>
        <w:pStyle w:val="ListParagraph"/>
        <w:tabs>
          <w:tab w:val="left" w:pos="709"/>
        </w:tabs>
        <w:ind w:left="709" w:right="282"/>
      </w:pPr>
    </w:p>
    <w:p w14:paraId="2513F5A9" w14:textId="77777777" w:rsidR="00C15762" w:rsidRDefault="00BB0B84" w:rsidP="00385391">
      <w:pPr>
        <w:pStyle w:val="ListParagraph"/>
        <w:numPr>
          <w:ilvl w:val="0"/>
          <w:numId w:val="5"/>
        </w:numPr>
        <w:ind w:left="709" w:right="282" w:hanging="567"/>
      </w:pPr>
      <w:r>
        <w:t>I</w:t>
      </w:r>
      <w:r w:rsidR="00385391">
        <w:t>dentify</w:t>
      </w:r>
      <w:r w:rsidR="00385391">
        <w:rPr>
          <w:spacing w:val="-3"/>
        </w:rPr>
        <w:t xml:space="preserve"> </w:t>
      </w:r>
      <w:r w:rsidR="00385391">
        <w:t>persons</w:t>
      </w:r>
      <w:r w:rsidR="00385391">
        <w:rPr>
          <w:spacing w:val="-3"/>
        </w:rPr>
        <w:t xml:space="preserve"> </w:t>
      </w:r>
      <w:r w:rsidR="00385391">
        <w:t>who</w:t>
      </w:r>
      <w:r w:rsidR="00385391">
        <w:rPr>
          <w:spacing w:val="-3"/>
        </w:rPr>
        <w:t xml:space="preserve"> </w:t>
      </w:r>
      <w:r w:rsidR="00385391">
        <w:t>are</w:t>
      </w:r>
      <w:r w:rsidR="00385391">
        <w:rPr>
          <w:spacing w:val="-2"/>
        </w:rPr>
        <w:t xml:space="preserve"> </w:t>
      </w:r>
      <w:r w:rsidR="00385391">
        <w:t>qualified</w:t>
      </w:r>
      <w:r w:rsidR="00385391">
        <w:rPr>
          <w:spacing w:val="-2"/>
        </w:rPr>
        <w:t xml:space="preserve"> </w:t>
      </w:r>
      <w:r w:rsidR="00385391">
        <w:t>to</w:t>
      </w:r>
      <w:r w:rsidR="00385391">
        <w:rPr>
          <w:spacing w:val="-3"/>
        </w:rPr>
        <w:t xml:space="preserve"> </w:t>
      </w:r>
      <w:r w:rsidR="00385391">
        <w:t>become</w:t>
      </w:r>
      <w:r w:rsidR="00385391">
        <w:rPr>
          <w:spacing w:val="-4"/>
        </w:rPr>
        <w:t xml:space="preserve"> </w:t>
      </w:r>
      <w:r w:rsidR="00385391">
        <w:t>Directors</w:t>
      </w:r>
      <w:r w:rsidR="00385391">
        <w:rPr>
          <w:spacing w:val="-2"/>
        </w:rPr>
        <w:t xml:space="preserve"> </w:t>
      </w:r>
      <w:r w:rsidR="00385391">
        <w:t>and</w:t>
      </w:r>
      <w:r w:rsidR="00385391">
        <w:rPr>
          <w:spacing w:val="-3"/>
        </w:rPr>
        <w:t xml:space="preserve"> </w:t>
      </w:r>
      <w:r w:rsidR="00385391">
        <w:t>who</w:t>
      </w:r>
      <w:r w:rsidR="00385391">
        <w:rPr>
          <w:spacing w:val="-3"/>
        </w:rPr>
        <w:t xml:space="preserve"> </w:t>
      </w:r>
      <w:r w:rsidR="00385391">
        <w:t>may</w:t>
      </w:r>
      <w:r w:rsidR="00385391">
        <w:rPr>
          <w:spacing w:val="-3"/>
        </w:rPr>
        <w:t xml:space="preserve"> </w:t>
      </w:r>
      <w:r w:rsidR="00385391">
        <w:t>be</w:t>
      </w:r>
      <w:r w:rsidR="00385391">
        <w:rPr>
          <w:spacing w:val="-3"/>
        </w:rPr>
        <w:t xml:space="preserve"> </w:t>
      </w:r>
      <w:r w:rsidR="00385391">
        <w:t>appointed</w:t>
      </w:r>
      <w:r w:rsidR="00385391">
        <w:rPr>
          <w:spacing w:val="-3"/>
        </w:rPr>
        <w:t xml:space="preserve"> </w:t>
      </w:r>
      <w:r w:rsidR="00385391">
        <w:t>in</w:t>
      </w:r>
      <w:r w:rsidR="00385391">
        <w:rPr>
          <w:spacing w:val="-63"/>
        </w:rPr>
        <w:t xml:space="preserve"> </w:t>
      </w:r>
      <w:r w:rsidR="00385391">
        <w:t>Senior Management</w:t>
      </w:r>
      <w:r w:rsidR="00385391">
        <w:rPr>
          <w:spacing w:val="-2"/>
        </w:rPr>
        <w:t xml:space="preserve"> </w:t>
      </w:r>
      <w:r w:rsidR="00385391">
        <w:t>in</w:t>
      </w:r>
      <w:r w:rsidR="00385391">
        <w:rPr>
          <w:spacing w:val="-2"/>
        </w:rPr>
        <w:t xml:space="preserve"> </w:t>
      </w:r>
      <w:r w:rsidR="00385391">
        <w:t>accordance</w:t>
      </w:r>
      <w:r w:rsidR="00385391">
        <w:rPr>
          <w:spacing w:val="-1"/>
        </w:rPr>
        <w:t xml:space="preserve"> </w:t>
      </w:r>
      <w:r w:rsidR="00385391">
        <w:t>with</w:t>
      </w:r>
      <w:r w:rsidR="00385391">
        <w:rPr>
          <w:spacing w:val="-1"/>
        </w:rPr>
        <w:t xml:space="preserve"> </w:t>
      </w:r>
      <w:r w:rsidR="00385391">
        <w:t>the</w:t>
      </w:r>
      <w:r w:rsidR="00385391">
        <w:rPr>
          <w:spacing w:val="-1"/>
        </w:rPr>
        <w:t xml:space="preserve"> </w:t>
      </w:r>
      <w:r w:rsidR="00385391">
        <w:t>criteria</w:t>
      </w:r>
      <w:r w:rsidR="00385391">
        <w:rPr>
          <w:spacing w:val="-2"/>
        </w:rPr>
        <w:t xml:space="preserve"> </w:t>
      </w:r>
      <w:r w:rsidR="00385391">
        <w:t>laid</w:t>
      </w:r>
      <w:r w:rsidR="00385391">
        <w:rPr>
          <w:spacing w:val="-2"/>
        </w:rPr>
        <w:t xml:space="preserve"> </w:t>
      </w:r>
      <w:r w:rsidR="00385391">
        <w:t>down</w:t>
      </w:r>
      <w:r w:rsidR="00385391">
        <w:rPr>
          <w:spacing w:val="-1"/>
        </w:rPr>
        <w:t xml:space="preserve"> </w:t>
      </w:r>
      <w:r w:rsidR="00385391">
        <w:t>in</w:t>
      </w:r>
      <w:r w:rsidR="00385391">
        <w:rPr>
          <w:spacing w:val="-2"/>
        </w:rPr>
        <w:t xml:space="preserve"> </w:t>
      </w:r>
      <w:r w:rsidR="00385391">
        <w:t>this</w:t>
      </w:r>
      <w:r w:rsidR="00385391">
        <w:rPr>
          <w:spacing w:val="-11"/>
        </w:rPr>
        <w:t xml:space="preserve"> </w:t>
      </w:r>
      <w:r w:rsidR="00385391">
        <w:t>policy.</w:t>
      </w:r>
    </w:p>
    <w:p w14:paraId="09C407E0" w14:textId="77777777" w:rsidR="00BB0B84" w:rsidRDefault="00BB0B84" w:rsidP="00385391">
      <w:pPr>
        <w:pStyle w:val="ListParagraph"/>
      </w:pPr>
    </w:p>
    <w:p w14:paraId="406EC7AF" w14:textId="77777777" w:rsidR="00C15762" w:rsidRDefault="00385391" w:rsidP="00385391">
      <w:pPr>
        <w:pStyle w:val="ListParagraph"/>
        <w:numPr>
          <w:ilvl w:val="0"/>
          <w:numId w:val="5"/>
        </w:numPr>
        <w:tabs>
          <w:tab w:val="left" w:pos="709"/>
        </w:tabs>
        <w:spacing w:before="6"/>
        <w:ind w:left="709" w:right="282" w:hanging="567"/>
      </w:pPr>
      <w:r>
        <w:t>To</w:t>
      </w:r>
      <w:r>
        <w:rPr>
          <w:spacing w:val="-4"/>
        </w:rPr>
        <w:t xml:space="preserve"> </w:t>
      </w:r>
      <w:r>
        <w:t>carry</w:t>
      </w:r>
      <w:r>
        <w:rPr>
          <w:spacing w:val="-3"/>
        </w:rPr>
        <w:t xml:space="preserve"> </w:t>
      </w:r>
      <w:r>
        <w:t>out</w:t>
      </w:r>
      <w:r>
        <w:rPr>
          <w:spacing w:val="-3"/>
        </w:rPr>
        <w:t xml:space="preserve"> </w:t>
      </w:r>
      <w:r>
        <w:t>evaluation</w:t>
      </w:r>
      <w:r>
        <w:rPr>
          <w:spacing w:val="-2"/>
        </w:rPr>
        <w:t xml:space="preserve"> </w:t>
      </w:r>
      <w:r>
        <w:t>of</w:t>
      </w:r>
      <w:r>
        <w:rPr>
          <w:spacing w:val="-2"/>
        </w:rPr>
        <w:t xml:space="preserve"> </w:t>
      </w:r>
      <w:r>
        <w:t>Director’s</w:t>
      </w:r>
      <w:r>
        <w:rPr>
          <w:spacing w:val="-11"/>
        </w:rPr>
        <w:t xml:space="preserve"> </w:t>
      </w:r>
      <w:r>
        <w:t>performance.</w:t>
      </w:r>
    </w:p>
    <w:p w14:paraId="74EF5DF6" w14:textId="77777777" w:rsidR="00C15762" w:rsidRDefault="00C15762" w:rsidP="00385391">
      <w:pPr>
        <w:pStyle w:val="BodyText"/>
        <w:tabs>
          <w:tab w:val="left" w:pos="709"/>
        </w:tabs>
        <w:spacing w:before="4"/>
        <w:ind w:left="709" w:right="282" w:hanging="567"/>
        <w:jc w:val="both"/>
        <w:rPr>
          <w:sz w:val="20"/>
        </w:rPr>
      </w:pPr>
    </w:p>
    <w:p w14:paraId="1DF49AF5" w14:textId="77777777" w:rsidR="00C15762" w:rsidRDefault="00385391" w:rsidP="00385391">
      <w:pPr>
        <w:pStyle w:val="ListParagraph"/>
        <w:numPr>
          <w:ilvl w:val="0"/>
          <w:numId w:val="5"/>
        </w:numPr>
        <w:tabs>
          <w:tab w:val="left" w:pos="709"/>
        </w:tabs>
        <w:ind w:left="709" w:right="282" w:hanging="567"/>
      </w:pPr>
      <w:r>
        <w:t>To recommend to the Board the appointment and removal of Directors and Senior</w:t>
      </w:r>
      <w:r>
        <w:rPr>
          <w:spacing w:val="-65"/>
        </w:rPr>
        <w:t xml:space="preserve"> </w:t>
      </w:r>
      <w:r>
        <w:t>Management.</w:t>
      </w:r>
    </w:p>
    <w:p w14:paraId="4BE974C2" w14:textId="77777777" w:rsidR="00C15762" w:rsidRDefault="00385391" w:rsidP="00385391">
      <w:pPr>
        <w:pStyle w:val="ListParagraph"/>
        <w:numPr>
          <w:ilvl w:val="0"/>
          <w:numId w:val="5"/>
        </w:numPr>
        <w:spacing w:before="195"/>
        <w:ind w:left="709" w:right="282" w:hanging="567"/>
      </w:pPr>
      <w:r>
        <w:t>To</w:t>
      </w:r>
      <w:r>
        <w:rPr>
          <w:spacing w:val="16"/>
        </w:rPr>
        <w:t xml:space="preserve"> </w:t>
      </w:r>
      <w:r>
        <w:t>recommend</w:t>
      </w:r>
      <w:r>
        <w:rPr>
          <w:spacing w:val="19"/>
        </w:rPr>
        <w:t xml:space="preserve"> </w:t>
      </w:r>
      <w:r>
        <w:t>to</w:t>
      </w:r>
      <w:r>
        <w:rPr>
          <w:spacing w:val="19"/>
        </w:rPr>
        <w:t xml:space="preserve"> </w:t>
      </w:r>
      <w:r>
        <w:t>the</w:t>
      </w:r>
      <w:r>
        <w:rPr>
          <w:spacing w:val="17"/>
        </w:rPr>
        <w:t xml:space="preserve"> </w:t>
      </w:r>
      <w:r>
        <w:t>Board</w:t>
      </w:r>
      <w:r>
        <w:rPr>
          <w:spacing w:val="20"/>
        </w:rPr>
        <w:t xml:space="preserve"> </w:t>
      </w:r>
      <w:r>
        <w:t>policy</w:t>
      </w:r>
      <w:r>
        <w:rPr>
          <w:spacing w:val="17"/>
        </w:rPr>
        <w:t xml:space="preserve"> </w:t>
      </w:r>
      <w:r>
        <w:t>relating</w:t>
      </w:r>
      <w:r>
        <w:rPr>
          <w:spacing w:val="19"/>
        </w:rPr>
        <w:t xml:space="preserve"> </w:t>
      </w:r>
      <w:r>
        <w:t>to</w:t>
      </w:r>
      <w:r>
        <w:rPr>
          <w:spacing w:val="16"/>
        </w:rPr>
        <w:t xml:space="preserve"> </w:t>
      </w:r>
      <w:r>
        <w:t>remuneration</w:t>
      </w:r>
      <w:r>
        <w:rPr>
          <w:spacing w:val="19"/>
        </w:rPr>
        <w:t xml:space="preserve"> </w:t>
      </w:r>
      <w:r>
        <w:t>for</w:t>
      </w:r>
      <w:r>
        <w:rPr>
          <w:spacing w:val="18"/>
        </w:rPr>
        <w:t xml:space="preserve"> </w:t>
      </w:r>
      <w:r>
        <w:t>Directors,</w:t>
      </w:r>
      <w:r>
        <w:rPr>
          <w:spacing w:val="19"/>
        </w:rPr>
        <w:t xml:space="preserve"> </w:t>
      </w:r>
      <w:r>
        <w:t>Key</w:t>
      </w:r>
      <w:r>
        <w:rPr>
          <w:spacing w:val="16"/>
        </w:rPr>
        <w:t xml:space="preserve"> </w:t>
      </w:r>
      <w:r>
        <w:t>Managerial</w:t>
      </w:r>
      <w:r>
        <w:rPr>
          <w:spacing w:val="-63"/>
        </w:rPr>
        <w:t xml:space="preserve"> </w:t>
      </w:r>
      <w:r>
        <w:t>Personnel</w:t>
      </w:r>
      <w:r>
        <w:rPr>
          <w:spacing w:val="-2"/>
        </w:rPr>
        <w:t xml:space="preserve"> </w:t>
      </w:r>
      <w:r>
        <w:t>and</w:t>
      </w:r>
      <w:r>
        <w:rPr>
          <w:spacing w:val="-1"/>
        </w:rPr>
        <w:t xml:space="preserve"> </w:t>
      </w:r>
      <w:r>
        <w:t>Senior</w:t>
      </w:r>
      <w:r>
        <w:rPr>
          <w:spacing w:val="1"/>
        </w:rPr>
        <w:t xml:space="preserve"> </w:t>
      </w:r>
      <w:r>
        <w:t>Management.</w:t>
      </w:r>
    </w:p>
    <w:p w14:paraId="56310274" w14:textId="77777777" w:rsidR="00BB0B84" w:rsidRDefault="00BB0B84" w:rsidP="00385391">
      <w:pPr>
        <w:pStyle w:val="ListParagraph"/>
        <w:tabs>
          <w:tab w:val="left" w:pos="709"/>
        </w:tabs>
        <w:ind w:left="709" w:right="282"/>
      </w:pPr>
    </w:p>
    <w:p w14:paraId="3137FD06" w14:textId="77777777" w:rsidR="00C15762" w:rsidRDefault="00385391" w:rsidP="00385391">
      <w:pPr>
        <w:pStyle w:val="ListParagraph"/>
        <w:numPr>
          <w:ilvl w:val="0"/>
          <w:numId w:val="5"/>
        </w:numPr>
        <w:tabs>
          <w:tab w:val="left" w:pos="709"/>
        </w:tabs>
        <w:ind w:left="709" w:right="282" w:hanging="567"/>
      </w:pPr>
      <w:r>
        <w:t>To</w:t>
      </w:r>
      <w:r>
        <w:rPr>
          <w:spacing w:val="-4"/>
        </w:rPr>
        <w:t xml:space="preserve"> </w:t>
      </w:r>
      <w:r>
        <w:t>devise</w:t>
      </w:r>
      <w:r>
        <w:rPr>
          <w:spacing w:val="-3"/>
        </w:rPr>
        <w:t xml:space="preserve"> </w:t>
      </w:r>
      <w:r>
        <w:t>a</w:t>
      </w:r>
      <w:r>
        <w:rPr>
          <w:spacing w:val="-3"/>
        </w:rPr>
        <w:t xml:space="preserve"> </w:t>
      </w:r>
      <w:r>
        <w:t>policy</w:t>
      </w:r>
      <w:r>
        <w:rPr>
          <w:spacing w:val="-4"/>
        </w:rPr>
        <w:t xml:space="preserve"> </w:t>
      </w:r>
      <w:r>
        <w:t>on</w:t>
      </w:r>
      <w:r>
        <w:rPr>
          <w:spacing w:val="-2"/>
        </w:rPr>
        <w:t xml:space="preserve"> </w:t>
      </w:r>
      <w:r>
        <w:t>Board diversity,</w:t>
      </w:r>
      <w:r>
        <w:rPr>
          <w:spacing w:val="-2"/>
        </w:rPr>
        <w:t xml:space="preserve"> </w:t>
      </w:r>
      <w:r>
        <w:t>composition,</w:t>
      </w:r>
      <w:r>
        <w:rPr>
          <w:spacing w:val="-8"/>
        </w:rPr>
        <w:t xml:space="preserve"> </w:t>
      </w:r>
      <w:r>
        <w:t>size.</w:t>
      </w:r>
    </w:p>
    <w:p w14:paraId="4BF2A3B3" w14:textId="77777777" w:rsidR="00C15762" w:rsidRDefault="00C15762" w:rsidP="00385391">
      <w:pPr>
        <w:pStyle w:val="BodyText"/>
        <w:tabs>
          <w:tab w:val="left" w:pos="709"/>
        </w:tabs>
        <w:spacing w:before="7"/>
        <w:ind w:left="709" w:right="282" w:hanging="567"/>
        <w:jc w:val="both"/>
        <w:rPr>
          <w:sz w:val="20"/>
        </w:rPr>
      </w:pPr>
    </w:p>
    <w:p w14:paraId="367EDFAC" w14:textId="77777777" w:rsidR="00C15762" w:rsidRDefault="00385391" w:rsidP="00385391">
      <w:pPr>
        <w:pStyle w:val="ListParagraph"/>
        <w:numPr>
          <w:ilvl w:val="0"/>
          <w:numId w:val="5"/>
        </w:numPr>
        <w:tabs>
          <w:tab w:val="left" w:pos="709"/>
        </w:tabs>
        <w:ind w:left="709" w:right="282" w:hanging="567"/>
      </w:pPr>
      <w:r>
        <w:t>Succession</w:t>
      </w:r>
      <w:r>
        <w:rPr>
          <w:spacing w:val="-3"/>
        </w:rPr>
        <w:t xml:space="preserve"> </w:t>
      </w:r>
      <w:r>
        <w:t>planning</w:t>
      </w:r>
      <w:r>
        <w:rPr>
          <w:spacing w:val="-2"/>
        </w:rPr>
        <w:t xml:space="preserve"> </w:t>
      </w:r>
      <w:r>
        <w:t>for</w:t>
      </w:r>
      <w:r>
        <w:rPr>
          <w:spacing w:val="-4"/>
        </w:rPr>
        <w:t xml:space="preserve"> </w:t>
      </w:r>
      <w:r>
        <w:t>replacing</w:t>
      </w:r>
      <w:r>
        <w:rPr>
          <w:spacing w:val="-2"/>
        </w:rPr>
        <w:t xml:space="preserve"> </w:t>
      </w:r>
      <w:r>
        <w:t>Key</w:t>
      </w:r>
      <w:r>
        <w:rPr>
          <w:spacing w:val="-4"/>
        </w:rPr>
        <w:t xml:space="preserve"> </w:t>
      </w:r>
      <w:r>
        <w:t>Executives</w:t>
      </w:r>
      <w:r>
        <w:rPr>
          <w:spacing w:val="-5"/>
        </w:rPr>
        <w:t xml:space="preserve"> </w:t>
      </w:r>
      <w:r>
        <w:t>and</w:t>
      </w:r>
      <w:r>
        <w:rPr>
          <w:spacing w:val="-9"/>
        </w:rPr>
        <w:t xml:space="preserve"> </w:t>
      </w:r>
      <w:r>
        <w:t>overseeing.</w:t>
      </w:r>
    </w:p>
    <w:p w14:paraId="3C579490" w14:textId="77777777" w:rsidR="00C15762" w:rsidRDefault="00C15762" w:rsidP="00385391">
      <w:pPr>
        <w:pStyle w:val="BodyText"/>
        <w:spacing w:before="5"/>
        <w:ind w:left="709" w:right="282" w:hanging="567"/>
        <w:jc w:val="both"/>
        <w:rPr>
          <w:sz w:val="20"/>
        </w:rPr>
      </w:pPr>
    </w:p>
    <w:p w14:paraId="06EB324E" w14:textId="77777777" w:rsidR="00C15762" w:rsidRDefault="00385391" w:rsidP="00385391">
      <w:pPr>
        <w:pStyle w:val="ListParagraph"/>
        <w:numPr>
          <w:ilvl w:val="0"/>
          <w:numId w:val="5"/>
        </w:numPr>
        <w:ind w:left="709" w:right="282" w:hanging="567"/>
      </w:pPr>
      <w:r>
        <w:t>To</w:t>
      </w:r>
      <w:r>
        <w:rPr>
          <w:spacing w:val="22"/>
        </w:rPr>
        <w:t xml:space="preserve"> </w:t>
      </w:r>
      <w:r>
        <w:t>carry</w:t>
      </w:r>
      <w:r>
        <w:rPr>
          <w:spacing w:val="22"/>
        </w:rPr>
        <w:t xml:space="preserve"> </w:t>
      </w:r>
      <w:r>
        <w:t>out</w:t>
      </w:r>
      <w:r>
        <w:rPr>
          <w:spacing w:val="22"/>
        </w:rPr>
        <w:t xml:space="preserve"> </w:t>
      </w:r>
      <w:r>
        <w:t>any</w:t>
      </w:r>
      <w:r>
        <w:rPr>
          <w:spacing w:val="22"/>
        </w:rPr>
        <w:t xml:space="preserve"> </w:t>
      </w:r>
      <w:r>
        <w:t>other</w:t>
      </w:r>
      <w:r>
        <w:rPr>
          <w:spacing w:val="25"/>
        </w:rPr>
        <w:t xml:space="preserve"> </w:t>
      </w:r>
      <w:r>
        <w:t>function</w:t>
      </w:r>
      <w:r>
        <w:rPr>
          <w:spacing w:val="22"/>
        </w:rPr>
        <w:t xml:space="preserve"> </w:t>
      </w:r>
      <w:r>
        <w:t>as</w:t>
      </w:r>
      <w:r>
        <w:rPr>
          <w:spacing w:val="23"/>
        </w:rPr>
        <w:t xml:space="preserve"> </w:t>
      </w:r>
      <w:r>
        <w:t>is</w:t>
      </w:r>
      <w:r>
        <w:rPr>
          <w:spacing w:val="22"/>
        </w:rPr>
        <w:t xml:space="preserve"> </w:t>
      </w:r>
      <w:r>
        <w:t>mandated</w:t>
      </w:r>
      <w:r>
        <w:rPr>
          <w:spacing w:val="23"/>
        </w:rPr>
        <w:t xml:space="preserve"> </w:t>
      </w:r>
      <w:r>
        <w:t>by</w:t>
      </w:r>
      <w:r>
        <w:rPr>
          <w:spacing w:val="22"/>
        </w:rPr>
        <w:t xml:space="preserve"> </w:t>
      </w:r>
      <w:r>
        <w:t>the</w:t>
      </w:r>
      <w:r>
        <w:rPr>
          <w:spacing w:val="23"/>
        </w:rPr>
        <w:t xml:space="preserve"> </w:t>
      </w:r>
      <w:r>
        <w:t>Board</w:t>
      </w:r>
      <w:r>
        <w:rPr>
          <w:spacing w:val="22"/>
        </w:rPr>
        <w:t xml:space="preserve"> </w:t>
      </w:r>
      <w:r>
        <w:t>from</w:t>
      </w:r>
      <w:r>
        <w:rPr>
          <w:spacing w:val="22"/>
        </w:rPr>
        <w:t xml:space="preserve"> </w:t>
      </w:r>
      <w:r>
        <w:t>time</w:t>
      </w:r>
      <w:r>
        <w:rPr>
          <w:spacing w:val="23"/>
        </w:rPr>
        <w:t xml:space="preserve"> </w:t>
      </w:r>
      <w:r>
        <w:t>to</w:t>
      </w:r>
      <w:r>
        <w:rPr>
          <w:spacing w:val="23"/>
        </w:rPr>
        <w:t xml:space="preserve"> </w:t>
      </w:r>
      <w:r>
        <w:t>time</w:t>
      </w:r>
      <w:r>
        <w:rPr>
          <w:spacing w:val="22"/>
        </w:rPr>
        <w:t xml:space="preserve"> </w:t>
      </w:r>
      <w:r>
        <w:t>and</w:t>
      </w:r>
      <w:r>
        <w:rPr>
          <w:spacing w:val="23"/>
        </w:rPr>
        <w:t xml:space="preserve"> </w:t>
      </w:r>
      <w:r>
        <w:t>/</w:t>
      </w:r>
      <w:r>
        <w:rPr>
          <w:spacing w:val="22"/>
        </w:rPr>
        <w:t xml:space="preserve"> </w:t>
      </w:r>
      <w:r>
        <w:t>or</w:t>
      </w:r>
      <w:r>
        <w:rPr>
          <w:spacing w:val="-63"/>
        </w:rPr>
        <w:t xml:space="preserve"> </w:t>
      </w:r>
      <w:r>
        <w:t>enforced</w:t>
      </w:r>
      <w:r>
        <w:rPr>
          <w:spacing w:val="-3"/>
        </w:rPr>
        <w:t xml:space="preserve"> </w:t>
      </w:r>
      <w:r>
        <w:t>by</w:t>
      </w:r>
      <w:r>
        <w:rPr>
          <w:spacing w:val="-3"/>
        </w:rPr>
        <w:t xml:space="preserve"> </w:t>
      </w:r>
      <w:r>
        <w:t>any</w:t>
      </w:r>
      <w:r>
        <w:rPr>
          <w:spacing w:val="-3"/>
        </w:rPr>
        <w:t xml:space="preserve"> </w:t>
      </w:r>
      <w:r>
        <w:t>statutory</w:t>
      </w:r>
      <w:r>
        <w:rPr>
          <w:spacing w:val="-2"/>
        </w:rPr>
        <w:t xml:space="preserve"> </w:t>
      </w:r>
      <w:r>
        <w:t>notification,</w:t>
      </w:r>
      <w:r>
        <w:rPr>
          <w:spacing w:val="-2"/>
        </w:rPr>
        <w:t xml:space="preserve"> </w:t>
      </w:r>
      <w:proofErr w:type="gramStart"/>
      <w:r>
        <w:t>amendment</w:t>
      </w:r>
      <w:proofErr w:type="gramEnd"/>
      <w:r>
        <w:rPr>
          <w:spacing w:val="-3"/>
        </w:rPr>
        <w:t xml:space="preserve"> </w:t>
      </w:r>
      <w:r>
        <w:t>or</w:t>
      </w:r>
      <w:r>
        <w:rPr>
          <w:spacing w:val="-1"/>
        </w:rPr>
        <w:t xml:space="preserve"> </w:t>
      </w:r>
      <w:r>
        <w:t>modification,</w:t>
      </w:r>
      <w:r>
        <w:rPr>
          <w:spacing w:val="-1"/>
        </w:rPr>
        <w:t xml:space="preserve"> </w:t>
      </w:r>
      <w:r>
        <w:t>as</w:t>
      </w:r>
      <w:r>
        <w:rPr>
          <w:spacing w:val="-2"/>
        </w:rPr>
        <w:t xml:space="preserve"> </w:t>
      </w:r>
      <w:r>
        <w:t>may</w:t>
      </w:r>
      <w:r>
        <w:rPr>
          <w:spacing w:val="-3"/>
        </w:rPr>
        <w:t xml:space="preserve"> </w:t>
      </w:r>
      <w:r>
        <w:t>be</w:t>
      </w:r>
      <w:r>
        <w:rPr>
          <w:spacing w:val="-3"/>
        </w:rPr>
        <w:t xml:space="preserve"> </w:t>
      </w:r>
      <w:r>
        <w:t>applicable.</w:t>
      </w:r>
    </w:p>
    <w:p w14:paraId="07F59396" w14:textId="77777777" w:rsidR="00BB0B84" w:rsidRDefault="00BB0B84" w:rsidP="00385391">
      <w:pPr>
        <w:pStyle w:val="ListParagraph"/>
      </w:pPr>
    </w:p>
    <w:p w14:paraId="732B8C46" w14:textId="77777777" w:rsidR="00C15762" w:rsidRDefault="00385391" w:rsidP="00385391">
      <w:pPr>
        <w:pStyle w:val="ListParagraph"/>
        <w:numPr>
          <w:ilvl w:val="0"/>
          <w:numId w:val="5"/>
        </w:numPr>
        <w:ind w:left="709" w:right="282" w:hanging="567"/>
      </w:pPr>
      <w:r>
        <w:t>To perform such other functions as may be necessary or appropriate for the performance of</w:t>
      </w:r>
      <w:r>
        <w:rPr>
          <w:spacing w:val="-64"/>
        </w:rPr>
        <w:t xml:space="preserve"> </w:t>
      </w:r>
      <w:r>
        <w:t>its</w:t>
      </w:r>
      <w:r>
        <w:rPr>
          <w:spacing w:val="-1"/>
        </w:rPr>
        <w:t xml:space="preserve"> </w:t>
      </w:r>
      <w:r>
        <w:t>duties.</w:t>
      </w:r>
    </w:p>
    <w:p w14:paraId="68B14EC4" w14:textId="77777777" w:rsidR="00C15762" w:rsidRDefault="00385391" w:rsidP="006C3D2A">
      <w:pPr>
        <w:pStyle w:val="Heading2"/>
        <w:spacing w:before="195" w:line="276" w:lineRule="auto"/>
        <w:ind w:right="282"/>
        <w:jc w:val="both"/>
      </w:pPr>
      <w:bookmarkStart w:id="3" w:name="APPOINTMENT_AND_REMOVAL_OF_DIRECTOR,_KEY"/>
      <w:bookmarkEnd w:id="3"/>
      <w:r>
        <w:t>APPOINTMENT AND REMOVAL OF DIRECTOR, KEY MANAGERIAL PERSONNEL AND SENIOR</w:t>
      </w:r>
      <w:r>
        <w:rPr>
          <w:spacing w:val="-64"/>
        </w:rPr>
        <w:t xml:space="preserve"> </w:t>
      </w:r>
      <w:r>
        <w:t>MANAGEMENT</w:t>
      </w:r>
    </w:p>
    <w:p w14:paraId="7527A06C" w14:textId="77777777" w:rsidR="00BB0B84" w:rsidRDefault="00BB0B84" w:rsidP="00BB0B84">
      <w:pPr>
        <w:pStyle w:val="ListParagraph"/>
        <w:tabs>
          <w:tab w:val="left" w:pos="443"/>
        </w:tabs>
        <w:ind w:right="282"/>
        <w:jc w:val="left"/>
      </w:pPr>
    </w:p>
    <w:p w14:paraId="0C424CAB" w14:textId="77777777" w:rsidR="00C15762" w:rsidRDefault="00385391" w:rsidP="00BB0B84">
      <w:pPr>
        <w:pStyle w:val="ListParagraph"/>
        <w:numPr>
          <w:ilvl w:val="0"/>
          <w:numId w:val="4"/>
        </w:numPr>
        <w:tabs>
          <w:tab w:val="left" w:pos="443"/>
        </w:tabs>
        <w:ind w:right="282" w:firstLine="0"/>
        <w:jc w:val="both"/>
      </w:pPr>
      <w:r>
        <w:t xml:space="preserve">The Committee shall identify and ascertain the integrity, qualification, </w:t>
      </w:r>
      <w:proofErr w:type="gramStart"/>
      <w:r>
        <w:t>expertise</w:t>
      </w:r>
      <w:proofErr w:type="gramEnd"/>
      <w:r>
        <w:t xml:space="preserve"> and</w:t>
      </w:r>
      <w:r>
        <w:rPr>
          <w:spacing w:val="1"/>
        </w:rPr>
        <w:t xml:space="preserve"> </w:t>
      </w:r>
      <w:r>
        <w:t>experience of the person for appointment as Director, KMP or at Senior Management level and</w:t>
      </w:r>
      <w:r>
        <w:rPr>
          <w:spacing w:val="-64"/>
        </w:rPr>
        <w:t xml:space="preserve"> </w:t>
      </w:r>
      <w:r>
        <w:t>recommend</w:t>
      </w:r>
      <w:r>
        <w:rPr>
          <w:spacing w:val="-1"/>
        </w:rPr>
        <w:t xml:space="preserve"> </w:t>
      </w:r>
      <w:r>
        <w:t>his /</w:t>
      </w:r>
      <w:r>
        <w:rPr>
          <w:spacing w:val="-1"/>
        </w:rPr>
        <w:t xml:space="preserve"> </w:t>
      </w:r>
      <w:r>
        <w:t>her</w:t>
      </w:r>
      <w:r>
        <w:rPr>
          <w:spacing w:val="-2"/>
        </w:rPr>
        <w:t xml:space="preserve"> </w:t>
      </w:r>
      <w:r>
        <w:t>appointment, as per</w:t>
      </w:r>
      <w:r>
        <w:rPr>
          <w:spacing w:val="1"/>
        </w:rPr>
        <w:t xml:space="preserve"> </w:t>
      </w:r>
      <w:r>
        <w:t>Company’s</w:t>
      </w:r>
      <w:r>
        <w:rPr>
          <w:spacing w:val="-1"/>
        </w:rPr>
        <w:t xml:space="preserve"> </w:t>
      </w:r>
      <w:r>
        <w:t>Policy.</w:t>
      </w:r>
    </w:p>
    <w:p w14:paraId="6683F24B" w14:textId="77777777" w:rsidR="00C15762" w:rsidRDefault="00C15762" w:rsidP="00BB0B84">
      <w:pPr>
        <w:pStyle w:val="BodyText"/>
        <w:spacing w:before="8"/>
        <w:ind w:right="282"/>
        <w:rPr>
          <w:sz w:val="21"/>
        </w:rPr>
      </w:pPr>
    </w:p>
    <w:p w14:paraId="6EF30D98" w14:textId="77777777" w:rsidR="00C15762" w:rsidRDefault="00385391" w:rsidP="00BB0B84">
      <w:pPr>
        <w:pStyle w:val="ListParagraph"/>
        <w:numPr>
          <w:ilvl w:val="0"/>
          <w:numId w:val="4"/>
        </w:numPr>
        <w:tabs>
          <w:tab w:val="left" w:pos="411"/>
        </w:tabs>
        <w:spacing w:line="276" w:lineRule="auto"/>
        <w:ind w:right="282" w:firstLine="0"/>
        <w:jc w:val="both"/>
      </w:pPr>
      <w:r>
        <w:t xml:space="preserve">A person should possess adequate qualification, </w:t>
      </w:r>
      <w:proofErr w:type="gramStart"/>
      <w:r>
        <w:t>expertise</w:t>
      </w:r>
      <w:proofErr w:type="gramEnd"/>
      <w:r>
        <w:t xml:space="preserve"> and experience for the position</w:t>
      </w:r>
      <w:r>
        <w:rPr>
          <w:spacing w:val="1"/>
        </w:rPr>
        <w:t xml:space="preserve"> </w:t>
      </w:r>
      <w:r>
        <w:t>he / she is considered for appointment. The Committee has authority to decide whether</w:t>
      </w:r>
      <w:r>
        <w:rPr>
          <w:spacing w:val="1"/>
        </w:rPr>
        <w:t xml:space="preserve"> </w:t>
      </w:r>
      <w:r>
        <w:t>qualification, expertise and experience possessed by a person is sufficient / satisfactory for</w:t>
      </w:r>
      <w:r>
        <w:rPr>
          <w:spacing w:val="1"/>
        </w:rPr>
        <w:t xml:space="preserve"> </w:t>
      </w:r>
      <w:r>
        <w:t>the</w:t>
      </w:r>
      <w:r>
        <w:rPr>
          <w:spacing w:val="-4"/>
        </w:rPr>
        <w:t xml:space="preserve"> </w:t>
      </w:r>
      <w:r>
        <w:t>position.</w:t>
      </w:r>
    </w:p>
    <w:p w14:paraId="7D5D8510" w14:textId="77777777" w:rsidR="00C15762" w:rsidRDefault="00C15762" w:rsidP="00BB0B84">
      <w:pPr>
        <w:pStyle w:val="BodyText"/>
        <w:spacing w:before="2"/>
        <w:ind w:right="282"/>
      </w:pPr>
    </w:p>
    <w:p w14:paraId="07C6B8F7" w14:textId="77777777" w:rsidR="00C15762" w:rsidRDefault="00385391" w:rsidP="00BB0B84">
      <w:pPr>
        <w:pStyle w:val="ListParagraph"/>
        <w:numPr>
          <w:ilvl w:val="0"/>
          <w:numId w:val="4"/>
        </w:numPr>
        <w:tabs>
          <w:tab w:val="left" w:pos="399"/>
        </w:tabs>
        <w:ind w:right="282" w:firstLine="0"/>
        <w:jc w:val="both"/>
      </w:pPr>
      <w:r>
        <w:t>The Company shall not appoint or continue the employment of any person as Whole-time</w:t>
      </w:r>
      <w:r>
        <w:rPr>
          <w:spacing w:val="1"/>
        </w:rPr>
        <w:t xml:space="preserve"> </w:t>
      </w:r>
      <w:r>
        <w:t>Director who has attained the age of seventy years. Provided that the term of the person</w:t>
      </w:r>
      <w:r>
        <w:rPr>
          <w:spacing w:val="1"/>
        </w:rPr>
        <w:t xml:space="preserve"> </w:t>
      </w:r>
      <w:r>
        <w:t>holding this position may be extended beyond the age of seventy years with the approval of</w:t>
      </w:r>
      <w:r>
        <w:rPr>
          <w:spacing w:val="1"/>
        </w:rPr>
        <w:t xml:space="preserve"> </w:t>
      </w:r>
      <w:r>
        <w:t>shareholders</w:t>
      </w:r>
      <w:r>
        <w:rPr>
          <w:spacing w:val="-1"/>
        </w:rPr>
        <w:t xml:space="preserve"> </w:t>
      </w:r>
      <w:r>
        <w:t>by</w:t>
      </w:r>
      <w:r>
        <w:rPr>
          <w:spacing w:val="-1"/>
        </w:rPr>
        <w:t xml:space="preserve"> </w:t>
      </w:r>
      <w:r>
        <w:t>passing a</w:t>
      </w:r>
      <w:r>
        <w:rPr>
          <w:spacing w:val="1"/>
        </w:rPr>
        <w:t xml:space="preserve"> </w:t>
      </w:r>
      <w:r>
        <w:t>special</w:t>
      </w:r>
      <w:r>
        <w:rPr>
          <w:spacing w:val="-3"/>
        </w:rPr>
        <w:t xml:space="preserve"> </w:t>
      </w:r>
      <w:r>
        <w:t>resolution.</w:t>
      </w:r>
    </w:p>
    <w:p w14:paraId="6DB2A2D6" w14:textId="77777777" w:rsidR="00C15762" w:rsidRDefault="00C15762" w:rsidP="00BB0B84">
      <w:pPr>
        <w:pStyle w:val="BodyText"/>
        <w:spacing w:before="5"/>
        <w:ind w:right="282"/>
      </w:pPr>
    </w:p>
    <w:p w14:paraId="791DD40A" w14:textId="77777777" w:rsidR="00C15762" w:rsidRDefault="00385391" w:rsidP="00BB0B84">
      <w:pPr>
        <w:pStyle w:val="Heading2"/>
        <w:ind w:right="282"/>
      </w:pPr>
      <w:bookmarkStart w:id="4" w:name="TERM_/_TENURE"/>
      <w:bookmarkEnd w:id="4"/>
      <w:r>
        <w:t>TERM /</w:t>
      </w:r>
      <w:r>
        <w:rPr>
          <w:spacing w:val="1"/>
        </w:rPr>
        <w:t xml:space="preserve"> </w:t>
      </w:r>
      <w:r>
        <w:t>TENURE</w:t>
      </w:r>
    </w:p>
    <w:p w14:paraId="085C7DD8" w14:textId="77777777" w:rsidR="00C15762" w:rsidRDefault="00C15762" w:rsidP="00BB0B84">
      <w:pPr>
        <w:pStyle w:val="BodyText"/>
        <w:spacing w:before="2"/>
        <w:ind w:right="282"/>
        <w:rPr>
          <w:b/>
          <w:sz w:val="20"/>
        </w:rPr>
      </w:pPr>
    </w:p>
    <w:p w14:paraId="5F5484D5" w14:textId="77777777" w:rsidR="004D5781" w:rsidRDefault="004D5781" w:rsidP="004D5781">
      <w:pPr>
        <w:pStyle w:val="BodyText"/>
        <w:spacing w:before="1"/>
        <w:ind w:left="142" w:right="282"/>
        <w:jc w:val="both"/>
      </w:pPr>
      <w:r>
        <w:t>The Term of the Directors including Managing/Whole</w:t>
      </w:r>
      <w:r w:rsidR="00385391">
        <w:t xml:space="preserve"> </w:t>
      </w:r>
      <w:r>
        <w:t xml:space="preserve">time Director/ Independent Director shall be governed as per the provisions of the Act and Rules made thereunder and the SEBI (Listing Obligations and Disclosure Requirements) Regulations, 2015, as amended from time to time. </w:t>
      </w:r>
    </w:p>
    <w:p w14:paraId="4878D684" w14:textId="77777777" w:rsidR="00C15762" w:rsidRDefault="004D5781" w:rsidP="004D5781">
      <w:pPr>
        <w:pStyle w:val="BodyText"/>
        <w:spacing w:before="1"/>
        <w:ind w:left="142" w:right="282"/>
        <w:jc w:val="both"/>
      </w:pPr>
      <w:r>
        <w:t xml:space="preserve">Whereas the term of the KMP (other than the Managing / </w:t>
      </w:r>
      <w:proofErr w:type="spellStart"/>
      <w:r>
        <w:t>Wholetime</w:t>
      </w:r>
      <w:proofErr w:type="spellEnd"/>
      <w:r>
        <w:t xml:space="preserve"> Director) and Senior Management shall be governed by the prevailing HR policies of the Company</w:t>
      </w:r>
    </w:p>
    <w:p w14:paraId="5ECA5873" w14:textId="77777777" w:rsidR="004D5781" w:rsidRDefault="004D5781" w:rsidP="00BB0B84">
      <w:pPr>
        <w:pStyle w:val="BodyText"/>
        <w:spacing w:before="1"/>
        <w:ind w:right="282"/>
      </w:pPr>
    </w:p>
    <w:p w14:paraId="13B00D18" w14:textId="77777777" w:rsidR="00C15762" w:rsidRDefault="00385391" w:rsidP="00BB0B84">
      <w:pPr>
        <w:pStyle w:val="Heading2"/>
        <w:ind w:right="282"/>
      </w:pPr>
      <w:bookmarkStart w:id="5" w:name="EVALUATION"/>
      <w:bookmarkEnd w:id="5"/>
      <w:r>
        <w:t>EVALUATION</w:t>
      </w:r>
    </w:p>
    <w:p w14:paraId="63F318F9" w14:textId="77777777" w:rsidR="00C15762" w:rsidRDefault="00C15762" w:rsidP="00BB0B84">
      <w:pPr>
        <w:pStyle w:val="BodyText"/>
        <w:spacing w:before="4"/>
        <w:ind w:right="282"/>
        <w:rPr>
          <w:b/>
          <w:sz w:val="20"/>
        </w:rPr>
      </w:pPr>
    </w:p>
    <w:p w14:paraId="0011FEB3" w14:textId="77777777" w:rsidR="00BB0B84" w:rsidRDefault="00BB0B84" w:rsidP="00BB0B84">
      <w:pPr>
        <w:pStyle w:val="BodyText"/>
        <w:spacing w:before="2"/>
        <w:ind w:left="142" w:right="282"/>
        <w:jc w:val="both"/>
      </w:pPr>
      <w:r>
        <w:t xml:space="preserve">The Committee shall carry out evaluation of performance of every Director. </w:t>
      </w:r>
    </w:p>
    <w:p w14:paraId="4D64BE44" w14:textId="77777777" w:rsidR="00BB0B84" w:rsidRDefault="00BB0B84" w:rsidP="00BB0B84">
      <w:pPr>
        <w:pStyle w:val="BodyText"/>
        <w:spacing w:before="2"/>
        <w:ind w:left="142" w:right="282"/>
        <w:jc w:val="both"/>
      </w:pPr>
    </w:p>
    <w:p w14:paraId="2CE41B1C" w14:textId="77777777" w:rsidR="00C15762" w:rsidRDefault="00BB0B84" w:rsidP="00BB0B84">
      <w:pPr>
        <w:pStyle w:val="BodyText"/>
        <w:spacing w:before="2"/>
        <w:ind w:left="142" w:right="282"/>
        <w:jc w:val="both"/>
      </w:pPr>
      <w:r>
        <w:t xml:space="preserve">The Committee shall identify evaluation criteria which will evaluate Directors based on knowledge to perform the role, time and level of participation, performance of duties, level of oversight, professional </w:t>
      </w:r>
      <w:proofErr w:type="gramStart"/>
      <w:r>
        <w:t>conduct</w:t>
      </w:r>
      <w:proofErr w:type="gramEnd"/>
      <w:r>
        <w:t xml:space="preserve"> and independence. The appointment / re-appointment / continuation of Directors on the Board shall be subject to the outcome of the yearly evaluation process. The Framework for performance evaluation of Independent Directors and the Board is decided by Board and the Committee time to time.</w:t>
      </w:r>
    </w:p>
    <w:p w14:paraId="45F0D192" w14:textId="77777777" w:rsidR="00BB0B84" w:rsidRDefault="00BB0B84" w:rsidP="00BB0B84">
      <w:pPr>
        <w:pStyle w:val="BodyText"/>
        <w:spacing w:before="2"/>
        <w:ind w:right="282"/>
      </w:pPr>
    </w:p>
    <w:p w14:paraId="42A4A40F" w14:textId="77777777" w:rsidR="00C15762" w:rsidRDefault="00385391" w:rsidP="00BB0B84">
      <w:pPr>
        <w:pStyle w:val="Heading2"/>
        <w:ind w:right="282"/>
      </w:pPr>
      <w:bookmarkStart w:id="6" w:name="REMOVAL"/>
      <w:bookmarkEnd w:id="6"/>
      <w:r>
        <w:t>REMOVAL</w:t>
      </w:r>
    </w:p>
    <w:p w14:paraId="41369B02" w14:textId="77777777" w:rsidR="00C15762" w:rsidRDefault="00C15762" w:rsidP="00BB0B84">
      <w:pPr>
        <w:pStyle w:val="BodyText"/>
        <w:spacing w:before="4"/>
        <w:ind w:right="282"/>
        <w:rPr>
          <w:b/>
          <w:sz w:val="20"/>
        </w:rPr>
      </w:pPr>
    </w:p>
    <w:p w14:paraId="66E5611C" w14:textId="77777777" w:rsidR="00C15762" w:rsidRDefault="00385391" w:rsidP="00BB0B84">
      <w:pPr>
        <w:pStyle w:val="BodyText"/>
        <w:spacing w:line="278" w:lineRule="auto"/>
        <w:ind w:left="120" w:right="282"/>
        <w:jc w:val="both"/>
      </w:pPr>
      <w:r>
        <w:t>The Committee may recommend with reasons recorded in writing, removal of a Director, KMP</w:t>
      </w:r>
      <w:r>
        <w:rPr>
          <w:spacing w:val="1"/>
        </w:rPr>
        <w:t xml:space="preserve"> </w:t>
      </w:r>
      <w:r>
        <w:t>or Senior</w:t>
      </w:r>
      <w:r w:rsidR="00BB0B84">
        <w:t xml:space="preserve"> </w:t>
      </w:r>
      <w:r>
        <w:t>Management Personnel subject to the provisions and compliance of the Companies Act, 2013,</w:t>
      </w:r>
      <w:r>
        <w:rPr>
          <w:spacing w:val="1"/>
        </w:rPr>
        <w:t xml:space="preserve"> </w:t>
      </w:r>
      <w:r>
        <w:t>rules</w:t>
      </w:r>
      <w:r>
        <w:rPr>
          <w:spacing w:val="-1"/>
        </w:rPr>
        <w:t xml:space="preserve"> </w:t>
      </w:r>
      <w:r>
        <w:t>and regulations</w:t>
      </w:r>
      <w:r>
        <w:rPr>
          <w:spacing w:val="-1"/>
        </w:rPr>
        <w:t xml:space="preserve"> </w:t>
      </w:r>
      <w:r>
        <w:t>and</w:t>
      </w:r>
      <w:r>
        <w:rPr>
          <w:spacing w:val="-2"/>
        </w:rPr>
        <w:t xml:space="preserve"> </w:t>
      </w:r>
      <w:r>
        <w:t>the</w:t>
      </w:r>
      <w:r>
        <w:rPr>
          <w:spacing w:val="-1"/>
        </w:rPr>
        <w:t xml:space="preserve"> </w:t>
      </w:r>
      <w:r>
        <w:t>policy</w:t>
      </w:r>
      <w:r>
        <w:rPr>
          <w:spacing w:val="-1"/>
        </w:rPr>
        <w:t xml:space="preserve"> </w:t>
      </w:r>
      <w:r>
        <w:t>of</w:t>
      </w:r>
      <w:r>
        <w:rPr>
          <w:spacing w:val="-1"/>
        </w:rPr>
        <w:t xml:space="preserve"> </w:t>
      </w:r>
      <w:r>
        <w:t>the Company.</w:t>
      </w:r>
    </w:p>
    <w:p w14:paraId="08CB50A8" w14:textId="77777777" w:rsidR="00C15762" w:rsidRDefault="00C15762" w:rsidP="00BB0B84">
      <w:pPr>
        <w:pStyle w:val="BodyText"/>
        <w:spacing w:before="3"/>
        <w:ind w:right="282"/>
        <w:rPr>
          <w:sz w:val="25"/>
        </w:rPr>
      </w:pPr>
    </w:p>
    <w:p w14:paraId="7AE1FC91" w14:textId="77777777" w:rsidR="00C15762" w:rsidRDefault="00385391" w:rsidP="00BB0B84">
      <w:pPr>
        <w:pStyle w:val="Heading2"/>
        <w:ind w:right="282"/>
      </w:pPr>
      <w:bookmarkStart w:id="7" w:name="RETIREMENT"/>
      <w:bookmarkEnd w:id="7"/>
      <w:r>
        <w:t>RETIREMENT</w:t>
      </w:r>
    </w:p>
    <w:p w14:paraId="4AA34814" w14:textId="77777777" w:rsidR="00C15762" w:rsidRDefault="00C15762" w:rsidP="00BB0B84">
      <w:pPr>
        <w:pStyle w:val="BodyText"/>
        <w:spacing w:before="4"/>
        <w:ind w:right="282"/>
        <w:rPr>
          <w:b/>
          <w:sz w:val="20"/>
        </w:rPr>
      </w:pPr>
    </w:p>
    <w:p w14:paraId="7510F56A" w14:textId="77777777" w:rsidR="00C15762" w:rsidRDefault="00385391" w:rsidP="00BB0B84">
      <w:pPr>
        <w:pStyle w:val="BodyText"/>
        <w:ind w:left="120" w:right="282"/>
        <w:jc w:val="both"/>
      </w:pPr>
      <w:r>
        <w:t>The</w:t>
      </w:r>
      <w:r>
        <w:rPr>
          <w:spacing w:val="1"/>
        </w:rPr>
        <w:t xml:space="preserve"> </w:t>
      </w:r>
      <w:r>
        <w:t>Director,</w:t>
      </w:r>
      <w:r>
        <w:rPr>
          <w:spacing w:val="1"/>
        </w:rPr>
        <w:t xml:space="preserve"> </w:t>
      </w:r>
      <w:r>
        <w:t>KMP</w:t>
      </w:r>
      <w:r>
        <w:rPr>
          <w:spacing w:val="1"/>
        </w:rPr>
        <w:t xml:space="preserve"> </w:t>
      </w:r>
      <w:r>
        <w:t>and</w:t>
      </w:r>
      <w:r>
        <w:rPr>
          <w:spacing w:val="1"/>
        </w:rPr>
        <w:t xml:space="preserve"> </w:t>
      </w:r>
      <w:r>
        <w:t>Senior</w:t>
      </w:r>
      <w:r>
        <w:rPr>
          <w:spacing w:val="1"/>
        </w:rPr>
        <w:t xml:space="preserve"> </w:t>
      </w:r>
      <w:r>
        <w:t>Management</w:t>
      </w:r>
      <w:r>
        <w:rPr>
          <w:spacing w:val="1"/>
        </w:rPr>
        <w:t xml:space="preserve"> </w:t>
      </w:r>
      <w:r>
        <w:t>Personnel</w:t>
      </w:r>
      <w:r>
        <w:rPr>
          <w:spacing w:val="1"/>
        </w:rPr>
        <w:t xml:space="preserve"> </w:t>
      </w:r>
      <w:r>
        <w:t>shall</w:t>
      </w:r>
      <w:r>
        <w:rPr>
          <w:spacing w:val="1"/>
        </w:rPr>
        <w:t xml:space="preserve"> </w:t>
      </w:r>
      <w:r>
        <w:t>retire</w:t>
      </w:r>
      <w:r>
        <w:rPr>
          <w:spacing w:val="1"/>
        </w:rPr>
        <w:t xml:space="preserve"> </w:t>
      </w:r>
      <w:r>
        <w:t>as</w:t>
      </w:r>
      <w:r>
        <w:rPr>
          <w:spacing w:val="1"/>
        </w:rPr>
        <w:t xml:space="preserve"> </w:t>
      </w:r>
      <w:r>
        <w:t>per</w:t>
      </w:r>
      <w:r>
        <w:rPr>
          <w:spacing w:val="1"/>
        </w:rPr>
        <w:t xml:space="preserve"> </w:t>
      </w:r>
      <w:r>
        <w:t>the</w:t>
      </w:r>
      <w:r>
        <w:rPr>
          <w:spacing w:val="1"/>
        </w:rPr>
        <w:t xml:space="preserve"> </w:t>
      </w:r>
      <w:r>
        <w:t>applicable</w:t>
      </w:r>
      <w:r>
        <w:rPr>
          <w:spacing w:val="-64"/>
        </w:rPr>
        <w:t xml:space="preserve"> </w:t>
      </w:r>
      <w:r>
        <w:t>provisions of the Act and the prevailing policy of the Company. The Board will have the</w:t>
      </w:r>
      <w:r>
        <w:rPr>
          <w:spacing w:val="1"/>
        </w:rPr>
        <w:t xml:space="preserve"> </w:t>
      </w:r>
      <w:r>
        <w:t>discretion to retain the Director, KMP, Senior Management Personnel in the same position/</w:t>
      </w:r>
      <w:r>
        <w:rPr>
          <w:spacing w:val="1"/>
        </w:rPr>
        <w:t xml:space="preserve"> </w:t>
      </w:r>
      <w:r>
        <w:t>remuneration or otherwise even after attaining the retirement age, for the benefit of the</w:t>
      </w:r>
      <w:r>
        <w:rPr>
          <w:spacing w:val="1"/>
        </w:rPr>
        <w:t xml:space="preserve"> </w:t>
      </w:r>
      <w:r>
        <w:t>Company.</w:t>
      </w:r>
    </w:p>
    <w:p w14:paraId="26A3CEA8" w14:textId="77777777" w:rsidR="00C15762" w:rsidRDefault="00C15762" w:rsidP="00BB0B84">
      <w:pPr>
        <w:pStyle w:val="BodyText"/>
        <w:spacing w:before="4"/>
        <w:ind w:right="282"/>
      </w:pPr>
    </w:p>
    <w:p w14:paraId="753BD347" w14:textId="77777777" w:rsidR="00C15762" w:rsidRDefault="00385391" w:rsidP="00BB0B84">
      <w:pPr>
        <w:pStyle w:val="Heading2"/>
        <w:ind w:right="282"/>
      </w:pPr>
      <w:bookmarkStart w:id="8" w:name="POLICY_FOR_REMUNERATION_TO_DIRECTORS/KMP"/>
      <w:bookmarkEnd w:id="8"/>
      <w:r>
        <w:t>POLICY</w:t>
      </w:r>
      <w:r>
        <w:rPr>
          <w:spacing w:val="-5"/>
        </w:rPr>
        <w:t xml:space="preserve"> </w:t>
      </w:r>
      <w:r>
        <w:t>FOR</w:t>
      </w:r>
      <w:r>
        <w:rPr>
          <w:spacing w:val="-3"/>
        </w:rPr>
        <w:t xml:space="preserve"> </w:t>
      </w:r>
      <w:r>
        <w:t>REMUNERATION</w:t>
      </w:r>
      <w:r>
        <w:rPr>
          <w:spacing w:val="-4"/>
        </w:rPr>
        <w:t xml:space="preserve"> </w:t>
      </w:r>
      <w:r>
        <w:t>TO</w:t>
      </w:r>
      <w:r>
        <w:rPr>
          <w:spacing w:val="-3"/>
        </w:rPr>
        <w:t xml:space="preserve"> </w:t>
      </w:r>
      <w:r>
        <w:t>DIRECTORS/KMP/SENIOR</w:t>
      </w:r>
      <w:r>
        <w:rPr>
          <w:spacing w:val="-6"/>
        </w:rPr>
        <w:t xml:space="preserve"> </w:t>
      </w:r>
      <w:r>
        <w:t>MANAGEMENT</w:t>
      </w:r>
      <w:r>
        <w:rPr>
          <w:spacing w:val="-6"/>
        </w:rPr>
        <w:t xml:space="preserve"> </w:t>
      </w:r>
      <w:r>
        <w:t>PERSONNEL</w:t>
      </w:r>
    </w:p>
    <w:p w14:paraId="1325393E" w14:textId="77777777" w:rsidR="00C15762" w:rsidRDefault="00C15762" w:rsidP="00BB0B84">
      <w:pPr>
        <w:pStyle w:val="BodyText"/>
        <w:spacing w:before="7"/>
        <w:ind w:right="282"/>
        <w:rPr>
          <w:b/>
          <w:sz w:val="20"/>
        </w:rPr>
      </w:pPr>
    </w:p>
    <w:p w14:paraId="1611A91D" w14:textId="77777777" w:rsidR="00C15762" w:rsidRDefault="00385391" w:rsidP="00BB0B84">
      <w:pPr>
        <w:pStyle w:val="ListParagraph"/>
        <w:numPr>
          <w:ilvl w:val="0"/>
          <w:numId w:val="2"/>
        </w:numPr>
        <w:tabs>
          <w:tab w:val="left" w:pos="385"/>
        </w:tabs>
        <w:ind w:right="282"/>
        <w:jc w:val="both"/>
      </w:pPr>
      <w:r>
        <w:t>Remuneration</w:t>
      </w:r>
      <w:r>
        <w:rPr>
          <w:spacing w:val="-4"/>
        </w:rPr>
        <w:t xml:space="preserve"> </w:t>
      </w:r>
      <w:r>
        <w:t>to</w:t>
      </w:r>
      <w:r>
        <w:rPr>
          <w:spacing w:val="-4"/>
        </w:rPr>
        <w:t xml:space="preserve"> </w:t>
      </w:r>
      <w:r>
        <w:t>Managing</w:t>
      </w:r>
      <w:r>
        <w:rPr>
          <w:spacing w:val="-4"/>
        </w:rPr>
        <w:t xml:space="preserve"> </w:t>
      </w:r>
      <w:r>
        <w:t>Director</w:t>
      </w:r>
      <w:r>
        <w:rPr>
          <w:spacing w:val="-2"/>
        </w:rPr>
        <w:t xml:space="preserve"> </w:t>
      </w:r>
      <w:r>
        <w:t>/</w:t>
      </w:r>
      <w:r>
        <w:rPr>
          <w:spacing w:val="-4"/>
        </w:rPr>
        <w:t xml:space="preserve"> </w:t>
      </w:r>
      <w:r>
        <w:t>Whole-time</w:t>
      </w:r>
      <w:r>
        <w:rPr>
          <w:spacing w:val="-7"/>
        </w:rPr>
        <w:t xml:space="preserve"> </w:t>
      </w:r>
      <w:r>
        <w:t>Director</w:t>
      </w:r>
      <w:r w:rsidR="004D5781">
        <w:t>, KMP and Senior Management</w:t>
      </w:r>
      <w:r>
        <w:t>:</w:t>
      </w:r>
    </w:p>
    <w:p w14:paraId="3E9169BE" w14:textId="77777777" w:rsidR="00C15762" w:rsidRDefault="00C15762" w:rsidP="00BB0B84">
      <w:pPr>
        <w:pStyle w:val="BodyText"/>
        <w:spacing w:before="2"/>
        <w:ind w:right="282"/>
        <w:rPr>
          <w:sz w:val="20"/>
        </w:rPr>
      </w:pPr>
    </w:p>
    <w:p w14:paraId="6B927E4E" w14:textId="77777777" w:rsidR="00C15762" w:rsidRDefault="004D5781" w:rsidP="004D5781">
      <w:pPr>
        <w:pStyle w:val="BodyText"/>
        <w:spacing w:before="6"/>
        <w:ind w:left="142" w:right="282"/>
        <w:jc w:val="both"/>
      </w:pPr>
      <w:r>
        <w:t>The remuneration / compensation / commission, etc.</w:t>
      </w:r>
      <w:proofErr w:type="gramStart"/>
      <w:r>
        <w:t>, as the case may be, to</w:t>
      </w:r>
      <w:proofErr w:type="gramEnd"/>
      <w:r>
        <w:t xml:space="preserve"> the Managing / Whole</w:t>
      </w:r>
      <w:r w:rsidR="00385391">
        <w:t xml:space="preserve"> </w:t>
      </w:r>
      <w:r>
        <w:t>time Director will be governed by the relevant provisions of the Companies Act, 2013 and applicable Rules and Regulations and will be determined by the Committee and recommended to the Board for approval. The remuneration / compensation / commission, etc.</w:t>
      </w:r>
      <w:proofErr w:type="gramStart"/>
      <w:r>
        <w:t>, as the case may be, shall</w:t>
      </w:r>
      <w:proofErr w:type="gramEnd"/>
      <w:r>
        <w:t xml:space="preserve"> be subject to the prior / post approval of the shareholders of the Company and Central Government, wherever required. Further, the Chairman &amp; Managing Director of the Company is </w:t>
      </w:r>
      <w:proofErr w:type="spellStart"/>
      <w:r>
        <w:t>authorised</w:t>
      </w:r>
      <w:proofErr w:type="spellEnd"/>
      <w:r>
        <w:t xml:space="preserve"> to decide the remuneration of KMP (other than Managing / Whole</w:t>
      </w:r>
      <w:r w:rsidR="00385391">
        <w:t xml:space="preserve"> </w:t>
      </w:r>
      <w:r>
        <w:t>time Director) and Senior Management, and which shall be decided by the Chairman &amp; Managing Director based on the standard market practice and prevailing HR policies of the Company.</w:t>
      </w:r>
    </w:p>
    <w:p w14:paraId="6E045FD5" w14:textId="77777777" w:rsidR="004D5781" w:rsidRDefault="004D5781" w:rsidP="00BB0B84">
      <w:pPr>
        <w:pStyle w:val="BodyText"/>
        <w:spacing w:before="6"/>
        <w:ind w:right="282"/>
        <w:rPr>
          <w:sz w:val="25"/>
        </w:rPr>
      </w:pPr>
    </w:p>
    <w:p w14:paraId="38DD64FE" w14:textId="77777777" w:rsidR="00C15762" w:rsidRDefault="00385391" w:rsidP="00BB0B84">
      <w:pPr>
        <w:pStyle w:val="ListParagraph"/>
        <w:numPr>
          <w:ilvl w:val="0"/>
          <w:numId w:val="2"/>
        </w:numPr>
        <w:tabs>
          <w:tab w:val="left" w:pos="385"/>
        </w:tabs>
        <w:ind w:right="282"/>
        <w:jc w:val="both"/>
      </w:pPr>
      <w:r>
        <w:t>Remuneration</w:t>
      </w:r>
      <w:r>
        <w:rPr>
          <w:spacing w:val="-3"/>
        </w:rPr>
        <w:t xml:space="preserve"> </w:t>
      </w:r>
      <w:r>
        <w:t>to</w:t>
      </w:r>
      <w:r>
        <w:rPr>
          <w:spacing w:val="-4"/>
        </w:rPr>
        <w:t xml:space="preserve"> </w:t>
      </w:r>
      <w:r>
        <w:t>Non-</w:t>
      </w:r>
      <w:r>
        <w:rPr>
          <w:spacing w:val="-1"/>
        </w:rPr>
        <w:t xml:space="preserve"> </w:t>
      </w:r>
      <w:r>
        <w:t>Executive</w:t>
      </w:r>
      <w:r>
        <w:rPr>
          <w:spacing w:val="-3"/>
        </w:rPr>
        <w:t xml:space="preserve"> </w:t>
      </w:r>
      <w:r>
        <w:t>/</w:t>
      </w:r>
      <w:r>
        <w:rPr>
          <w:spacing w:val="-3"/>
        </w:rPr>
        <w:t xml:space="preserve"> </w:t>
      </w:r>
      <w:r>
        <w:t>Independent</w:t>
      </w:r>
      <w:r>
        <w:rPr>
          <w:spacing w:val="-14"/>
        </w:rPr>
        <w:t xml:space="preserve"> </w:t>
      </w:r>
      <w:r>
        <w:t>Directors:</w:t>
      </w:r>
    </w:p>
    <w:p w14:paraId="20782C6E" w14:textId="77777777" w:rsidR="00C15762" w:rsidRDefault="00C15762" w:rsidP="00BB0B84">
      <w:pPr>
        <w:pStyle w:val="BodyText"/>
        <w:spacing w:before="4"/>
        <w:ind w:right="282"/>
        <w:rPr>
          <w:sz w:val="20"/>
        </w:rPr>
      </w:pPr>
    </w:p>
    <w:p w14:paraId="3D4D4EBA" w14:textId="77777777" w:rsidR="004D5781" w:rsidRDefault="00BB0B84" w:rsidP="004D5781">
      <w:pPr>
        <w:pStyle w:val="BodyText"/>
        <w:spacing w:before="2"/>
        <w:ind w:left="142" w:right="282"/>
        <w:jc w:val="both"/>
      </w:pPr>
      <w:r>
        <w:t>The remuneration / commission / sitting fees</w:t>
      </w:r>
      <w:proofErr w:type="gramStart"/>
      <w:r>
        <w:t>, as the case may be, to</w:t>
      </w:r>
      <w:proofErr w:type="gramEnd"/>
      <w:r>
        <w:t xml:space="preserve"> the Non-Executive / Independent Director, shall be in accordance with the provisions of the Act and the Rules made thereunder for the time being in force or as may be decided by the Committee / Board / shareholders. </w:t>
      </w:r>
    </w:p>
    <w:p w14:paraId="59D21C72" w14:textId="77777777" w:rsidR="004D5781" w:rsidRDefault="004D5781" w:rsidP="004D5781">
      <w:pPr>
        <w:pStyle w:val="BodyText"/>
        <w:spacing w:before="2"/>
        <w:ind w:left="142" w:right="282"/>
        <w:jc w:val="both"/>
      </w:pPr>
    </w:p>
    <w:p w14:paraId="6C9A2A50" w14:textId="77777777" w:rsidR="00C15762" w:rsidRDefault="00BB0B84" w:rsidP="00385391">
      <w:pPr>
        <w:pStyle w:val="BodyText"/>
        <w:spacing w:before="2"/>
        <w:ind w:left="142" w:right="282"/>
        <w:jc w:val="both"/>
      </w:pPr>
      <w:r>
        <w:t>An Independent Director shall not be entitled to any stock option of the Company unless otherwise permitted in terms of the Act and the SEBI (Listing Obligations and Disclosure Requirements) Regulations, 2015, as amended from time to time.</w:t>
      </w:r>
    </w:p>
    <w:sectPr w:rsidR="00C15762" w:rsidSect="004D5781">
      <w:pgSz w:w="12240" w:h="15840"/>
      <w:pgMar w:top="1260" w:right="1140" w:bottom="709" w:left="1320" w:header="720" w:footer="720" w:gutter="0"/>
      <w:pgBorders w:offsetFrom="page">
        <w:top w:val="thickThinSmallGap" w:sz="24" w:space="26" w:color="000000"/>
        <w:left w:val="thickThinSmallGap" w:sz="24" w:space="26" w:color="000000"/>
        <w:bottom w:val="thinThickSmallGap" w:sz="24" w:space="26" w:color="000000"/>
        <w:right w:val="thinThickSmallGap" w:sz="24" w:space="26"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410F7"/>
    <w:multiLevelType w:val="hybridMultilevel"/>
    <w:tmpl w:val="1B3E86CA"/>
    <w:lvl w:ilvl="0" w:tplc="940646F2">
      <w:start w:val="1"/>
      <w:numFmt w:val="lowerRoman"/>
      <w:lvlText w:val="%1)"/>
      <w:lvlJc w:val="left"/>
      <w:pPr>
        <w:ind w:left="331" w:hanging="214"/>
        <w:jc w:val="left"/>
      </w:pPr>
      <w:rPr>
        <w:rFonts w:ascii="Trebuchet MS" w:eastAsia="Trebuchet MS" w:hAnsi="Trebuchet MS" w:cs="Trebuchet MS" w:hint="default"/>
        <w:spacing w:val="-1"/>
        <w:w w:val="100"/>
        <w:sz w:val="22"/>
        <w:szCs w:val="22"/>
        <w:lang w:val="en-US" w:eastAsia="en-US" w:bidi="ar-SA"/>
      </w:rPr>
    </w:lvl>
    <w:lvl w:ilvl="1" w:tplc="071ADEDA">
      <w:numFmt w:val="bullet"/>
      <w:lvlText w:val="•"/>
      <w:lvlJc w:val="left"/>
      <w:pPr>
        <w:ind w:left="1284" w:hanging="214"/>
      </w:pPr>
      <w:rPr>
        <w:rFonts w:hint="default"/>
        <w:lang w:val="en-US" w:eastAsia="en-US" w:bidi="ar-SA"/>
      </w:rPr>
    </w:lvl>
    <w:lvl w:ilvl="2" w:tplc="160C4F5A">
      <w:numFmt w:val="bullet"/>
      <w:lvlText w:val="•"/>
      <w:lvlJc w:val="left"/>
      <w:pPr>
        <w:ind w:left="2228" w:hanging="214"/>
      </w:pPr>
      <w:rPr>
        <w:rFonts w:hint="default"/>
        <w:lang w:val="en-US" w:eastAsia="en-US" w:bidi="ar-SA"/>
      </w:rPr>
    </w:lvl>
    <w:lvl w:ilvl="3" w:tplc="8878F836">
      <w:numFmt w:val="bullet"/>
      <w:lvlText w:val="•"/>
      <w:lvlJc w:val="left"/>
      <w:pPr>
        <w:ind w:left="3172" w:hanging="214"/>
      </w:pPr>
      <w:rPr>
        <w:rFonts w:hint="default"/>
        <w:lang w:val="en-US" w:eastAsia="en-US" w:bidi="ar-SA"/>
      </w:rPr>
    </w:lvl>
    <w:lvl w:ilvl="4" w:tplc="E3DE3962">
      <w:numFmt w:val="bullet"/>
      <w:lvlText w:val="•"/>
      <w:lvlJc w:val="left"/>
      <w:pPr>
        <w:ind w:left="4116" w:hanging="214"/>
      </w:pPr>
      <w:rPr>
        <w:rFonts w:hint="default"/>
        <w:lang w:val="en-US" w:eastAsia="en-US" w:bidi="ar-SA"/>
      </w:rPr>
    </w:lvl>
    <w:lvl w:ilvl="5" w:tplc="AC585A24">
      <w:numFmt w:val="bullet"/>
      <w:lvlText w:val="•"/>
      <w:lvlJc w:val="left"/>
      <w:pPr>
        <w:ind w:left="5060" w:hanging="214"/>
      </w:pPr>
      <w:rPr>
        <w:rFonts w:hint="default"/>
        <w:lang w:val="en-US" w:eastAsia="en-US" w:bidi="ar-SA"/>
      </w:rPr>
    </w:lvl>
    <w:lvl w:ilvl="6" w:tplc="A2AAD604">
      <w:numFmt w:val="bullet"/>
      <w:lvlText w:val="•"/>
      <w:lvlJc w:val="left"/>
      <w:pPr>
        <w:ind w:left="6004" w:hanging="214"/>
      </w:pPr>
      <w:rPr>
        <w:rFonts w:hint="default"/>
        <w:lang w:val="en-US" w:eastAsia="en-US" w:bidi="ar-SA"/>
      </w:rPr>
    </w:lvl>
    <w:lvl w:ilvl="7" w:tplc="F1F6FE94">
      <w:numFmt w:val="bullet"/>
      <w:lvlText w:val="•"/>
      <w:lvlJc w:val="left"/>
      <w:pPr>
        <w:ind w:left="6948" w:hanging="214"/>
      </w:pPr>
      <w:rPr>
        <w:rFonts w:hint="default"/>
        <w:lang w:val="en-US" w:eastAsia="en-US" w:bidi="ar-SA"/>
      </w:rPr>
    </w:lvl>
    <w:lvl w:ilvl="8" w:tplc="F6E8A834">
      <w:numFmt w:val="bullet"/>
      <w:lvlText w:val="•"/>
      <w:lvlJc w:val="left"/>
      <w:pPr>
        <w:ind w:left="7892" w:hanging="214"/>
      </w:pPr>
      <w:rPr>
        <w:rFonts w:hint="default"/>
        <w:lang w:val="en-US" w:eastAsia="en-US" w:bidi="ar-SA"/>
      </w:rPr>
    </w:lvl>
  </w:abstractNum>
  <w:abstractNum w:abstractNumId="1" w15:restartNumberingAfterBreak="0">
    <w:nsid w:val="18E075B8"/>
    <w:multiLevelType w:val="hybridMultilevel"/>
    <w:tmpl w:val="14881AAC"/>
    <w:lvl w:ilvl="0" w:tplc="5E4043A8">
      <w:start w:val="1"/>
      <w:numFmt w:val="lowerLetter"/>
      <w:lvlText w:val="%1)"/>
      <w:lvlJc w:val="left"/>
      <w:pPr>
        <w:ind w:left="540" w:hanging="360"/>
      </w:pPr>
      <w:rPr>
        <w:rFonts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2" w15:restartNumberingAfterBreak="0">
    <w:nsid w:val="196C7EC0"/>
    <w:multiLevelType w:val="hybridMultilevel"/>
    <w:tmpl w:val="DCEE3F5A"/>
    <w:lvl w:ilvl="0" w:tplc="BFB04F14">
      <w:start w:val="1"/>
      <w:numFmt w:val="lowerLetter"/>
      <w:lvlText w:val="%1)"/>
      <w:lvlJc w:val="left"/>
      <w:pPr>
        <w:ind w:left="120" w:hanging="322"/>
        <w:jc w:val="left"/>
      </w:pPr>
      <w:rPr>
        <w:rFonts w:ascii="Trebuchet MS" w:eastAsia="Trebuchet MS" w:hAnsi="Trebuchet MS" w:cs="Trebuchet MS" w:hint="default"/>
        <w:spacing w:val="-1"/>
        <w:w w:val="100"/>
        <w:sz w:val="22"/>
        <w:szCs w:val="22"/>
        <w:lang w:val="en-US" w:eastAsia="en-US" w:bidi="ar-SA"/>
      </w:rPr>
    </w:lvl>
    <w:lvl w:ilvl="1" w:tplc="2CAE5D74">
      <w:numFmt w:val="bullet"/>
      <w:lvlText w:val="•"/>
      <w:lvlJc w:val="left"/>
      <w:pPr>
        <w:ind w:left="1086" w:hanging="322"/>
      </w:pPr>
      <w:rPr>
        <w:rFonts w:hint="default"/>
        <w:lang w:val="en-US" w:eastAsia="en-US" w:bidi="ar-SA"/>
      </w:rPr>
    </w:lvl>
    <w:lvl w:ilvl="2" w:tplc="98383FCE">
      <w:numFmt w:val="bullet"/>
      <w:lvlText w:val="•"/>
      <w:lvlJc w:val="left"/>
      <w:pPr>
        <w:ind w:left="2052" w:hanging="322"/>
      </w:pPr>
      <w:rPr>
        <w:rFonts w:hint="default"/>
        <w:lang w:val="en-US" w:eastAsia="en-US" w:bidi="ar-SA"/>
      </w:rPr>
    </w:lvl>
    <w:lvl w:ilvl="3" w:tplc="37203CB4">
      <w:numFmt w:val="bullet"/>
      <w:lvlText w:val="•"/>
      <w:lvlJc w:val="left"/>
      <w:pPr>
        <w:ind w:left="3018" w:hanging="322"/>
      </w:pPr>
      <w:rPr>
        <w:rFonts w:hint="default"/>
        <w:lang w:val="en-US" w:eastAsia="en-US" w:bidi="ar-SA"/>
      </w:rPr>
    </w:lvl>
    <w:lvl w:ilvl="4" w:tplc="277E5B9A">
      <w:numFmt w:val="bullet"/>
      <w:lvlText w:val="•"/>
      <w:lvlJc w:val="left"/>
      <w:pPr>
        <w:ind w:left="3984" w:hanging="322"/>
      </w:pPr>
      <w:rPr>
        <w:rFonts w:hint="default"/>
        <w:lang w:val="en-US" w:eastAsia="en-US" w:bidi="ar-SA"/>
      </w:rPr>
    </w:lvl>
    <w:lvl w:ilvl="5" w:tplc="B9021BDC">
      <w:numFmt w:val="bullet"/>
      <w:lvlText w:val="•"/>
      <w:lvlJc w:val="left"/>
      <w:pPr>
        <w:ind w:left="4950" w:hanging="322"/>
      </w:pPr>
      <w:rPr>
        <w:rFonts w:hint="default"/>
        <w:lang w:val="en-US" w:eastAsia="en-US" w:bidi="ar-SA"/>
      </w:rPr>
    </w:lvl>
    <w:lvl w:ilvl="6" w:tplc="33A6F2F0">
      <w:numFmt w:val="bullet"/>
      <w:lvlText w:val="•"/>
      <w:lvlJc w:val="left"/>
      <w:pPr>
        <w:ind w:left="5916" w:hanging="322"/>
      </w:pPr>
      <w:rPr>
        <w:rFonts w:hint="default"/>
        <w:lang w:val="en-US" w:eastAsia="en-US" w:bidi="ar-SA"/>
      </w:rPr>
    </w:lvl>
    <w:lvl w:ilvl="7" w:tplc="6644AF72">
      <w:numFmt w:val="bullet"/>
      <w:lvlText w:val="•"/>
      <w:lvlJc w:val="left"/>
      <w:pPr>
        <w:ind w:left="6882" w:hanging="322"/>
      </w:pPr>
      <w:rPr>
        <w:rFonts w:hint="default"/>
        <w:lang w:val="en-US" w:eastAsia="en-US" w:bidi="ar-SA"/>
      </w:rPr>
    </w:lvl>
    <w:lvl w:ilvl="8" w:tplc="4E50B198">
      <w:numFmt w:val="bullet"/>
      <w:lvlText w:val="•"/>
      <w:lvlJc w:val="left"/>
      <w:pPr>
        <w:ind w:left="7848" w:hanging="322"/>
      </w:pPr>
      <w:rPr>
        <w:rFonts w:hint="default"/>
        <w:lang w:val="en-US" w:eastAsia="en-US" w:bidi="ar-SA"/>
      </w:rPr>
    </w:lvl>
  </w:abstractNum>
  <w:abstractNum w:abstractNumId="3" w15:restartNumberingAfterBreak="0">
    <w:nsid w:val="2254162F"/>
    <w:multiLevelType w:val="hybridMultilevel"/>
    <w:tmpl w:val="7EA27D30"/>
    <w:lvl w:ilvl="0" w:tplc="3BE41CF0">
      <w:start w:val="1"/>
      <w:numFmt w:val="decimal"/>
      <w:lvlText w:val="%1)"/>
      <w:lvlJc w:val="left"/>
      <w:pPr>
        <w:ind w:left="384" w:hanging="267"/>
        <w:jc w:val="left"/>
      </w:pPr>
      <w:rPr>
        <w:rFonts w:ascii="Trebuchet MS" w:eastAsia="Trebuchet MS" w:hAnsi="Trebuchet MS" w:cs="Trebuchet MS" w:hint="default"/>
        <w:spacing w:val="-1"/>
        <w:w w:val="100"/>
        <w:sz w:val="22"/>
        <w:szCs w:val="22"/>
        <w:lang w:val="en-US" w:eastAsia="en-US" w:bidi="ar-SA"/>
      </w:rPr>
    </w:lvl>
    <w:lvl w:ilvl="1" w:tplc="7E061DC8">
      <w:start w:val="1"/>
      <w:numFmt w:val="lowerLetter"/>
      <w:lvlText w:val="%2)"/>
      <w:lvlJc w:val="left"/>
      <w:pPr>
        <w:ind w:left="120" w:hanging="339"/>
        <w:jc w:val="left"/>
      </w:pPr>
      <w:rPr>
        <w:rFonts w:ascii="Trebuchet MS" w:eastAsia="Trebuchet MS" w:hAnsi="Trebuchet MS" w:cs="Trebuchet MS" w:hint="default"/>
        <w:spacing w:val="-1"/>
        <w:w w:val="100"/>
        <w:sz w:val="22"/>
        <w:szCs w:val="22"/>
        <w:lang w:val="en-US" w:eastAsia="en-US" w:bidi="ar-SA"/>
      </w:rPr>
    </w:lvl>
    <w:lvl w:ilvl="2" w:tplc="FC5C12DE">
      <w:numFmt w:val="bullet"/>
      <w:lvlText w:val="•"/>
      <w:lvlJc w:val="left"/>
      <w:pPr>
        <w:ind w:left="1424" w:hanging="339"/>
      </w:pPr>
      <w:rPr>
        <w:rFonts w:hint="default"/>
        <w:lang w:val="en-US" w:eastAsia="en-US" w:bidi="ar-SA"/>
      </w:rPr>
    </w:lvl>
    <w:lvl w:ilvl="3" w:tplc="330840E6">
      <w:numFmt w:val="bullet"/>
      <w:lvlText w:val="•"/>
      <w:lvlJc w:val="left"/>
      <w:pPr>
        <w:ind w:left="2468" w:hanging="339"/>
      </w:pPr>
      <w:rPr>
        <w:rFonts w:hint="default"/>
        <w:lang w:val="en-US" w:eastAsia="en-US" w:bidi="ar-SA"/>
      </w:rPr>
    </w:lvl>
    <w:lvl w:ilvl="4" w:tplc="13C60FFC">
      <w:numFmt w:val="bullet"/>
      <w:lvlText w:val="•"/>
      <w:lvlJc w:val="left"/>
      <w:pPr>
        <w:ind w:left="3513" w:hanging="339"/>
      </w:pPr>
      <w:rPr>
        <w:rFonts w:hint="default"/>
        <w:lang w:val="en-US" w:eastAsia="en-US" w:bidi="ar-SA"/>
      </w:rPr>
    </w:lvl>
    <w:lvl w:ilvl="5" w:tplc="770C781A">
      <w:numFmt w:val="bullet"/>
      <w:lvlText w:val="•"/>
      <w:lvlJc w:val="left"/>
      <w:pPr>
        <w:ind w:left="4557" w:hanging="339"/>
      </w:pPr>
      <w:rPr>
        <w:rFonts w:hint="default"/>
        <w:lang w:val="en-US" w:eastAsia="en-US" w:bidi="ar-SA"/>
      </w:rPr>
    </w:lvl>
    <w:lvl w:ilvl="6" w:tplc="FFCA7AAE">
      <w:numFmt w:val="bullet"/>
      <w:lvlText w:val="•"/>
      <w:lvlJc w:val="left"/>
      <w:pPr>
        <w:ind w:left="5602" w:hanging="339"/>
      </w:pPr>
      <w:rPr>
        <w:rFonts w:hint="default"/>
        <w:lang w:val="en-US" w:eastAsia="en-US" w:bidi="ar-SA"/>
      </w:rPr>
    </w:lvl>
    <w:lvl w:ilvl="7" w:tplc="FF143A02">
      <w:numFmt w:val="bullet"/>
      <w:lvlText w:val="•"/>
      <w:lvlJc w:val="left"/>
      <w:pPr>
        <w:ind w:left="6646" w:hanging="339"/>
      </w:pPr>
      <w:rPr>
        <w:rFonts w:hint="default"/>
        <w:lang w:val="en-US" w:eastAsia="en-US" w:bidi="ar-SA"/>
      </w:rPr>
    </w:lvl>
    <w:lvl w:ilvl="8" w:tplc="DE2CEEC0">
      <w:numFmt w:val="bullet"/>
      <w:lvlText w:val="•"/>
      <w:lvlJc w:val="left"/>
      <w:pPr>
        <w:ind w:left="7691" w:hanging="339"/>
      </w:pPr>
      <w:rPr>
        <w:rFonts w:hint="default"/>
        <w:lang w:val="en-US" w:eastAsia="en-US" w:bidi="ar-SA"/>
      </w:rPr>
    </w:lvl>
  </w:abstractNum>
  <w:abstractNum w:abstractNumId="4" w15:restartNumberingAfterBreak="0">
    <w:nsid w:val="4ECA6500"/>
    <w:multiLevelType w:val="hybridMultilevel"/>
    <w:tmpl w:val="1B5600EE"/>
    <w:lvl w:ilvl="0" w:tplc="139CB7DC">
      <w:numFmt w:val="bullet"/>
      <w:lvlText w:val="•"/>
      <w:lvlJc w:val="left"/>
      <w:pPr>
        <w:ind w:left="120" w:hanging="212"/>
      </w:pPr>
      <w:rPr>
        <w:rFonts w:ascii="Trebuchet MS" w:eastAsia="Trebuchet MS" w:hAnsi="Trebuchet MS" w:cs="Trebuchet MS" w:hint="default"/>
        <w:w w:val="100"/>
        <w:sz w:val="22"/>
        <w:szCs w:val="22"/>
        <w:lang w:val="en-US" w:eastAsia="en-US" w:bidi="ar-SA"/>
      </w:rPr>
    </w:lvl>
    <w:lvl w:ilvl="1" w:tplc="0B0C2242">
      <w:numFmt w:val="bullet"/>
      <w:lvlText w:val="•"/>
      <w:lvlJc w:val="left"/>
      <w:pPr>
        <w:ind w:left="1086" w:hanging="212"/>
      </w:pPr>
      <w:rPr>
        <w:rFonts w:hint="default"/>
        <w:lang w:val="en-US" w:eastAsia="en-US" w:bidi="ar-SA"/>
      </w:rPr>
    </w:lvl>
    <w:lvl w:ilvl="2" w:tplc="9A5E9654">
      <w:numFmt w:val="bullet"/>
      <w:lvlText w:val="•"/>
      <w:lvlJc w:val="left"/>
      <w:pPr>
        <w:ind w:left="2052" w:hanging="212"/>
      </w:pPr>
      <w:rPr>
        <w:rFonts w:hint="default"/>
        <w:lang w:val="en-US" w:eastAsia="en-US" w:bidi="ar-SA"/>
      </w:rPr>
    </w:lvl>
    <w:lvl w:ilvl="3" w:tplc="8654DC4C">
      <w:numFmt w:val="bullet"/>
      <w:lvlText w:val="•"/>
      <w:lvlJc w:val="left"/>
      <w:pPr>
        <w:ind w:left="3018" w:hanging="212"/>
      </w:pPr>
      <w:rPr>
        <w:rFonts w:hint="default"/>
        <w:lang w:val="en-US" w:eastAsia="en-US" w:bidi="ar-SA"/>
      </w:rPr>
    </w:lvl>
    <w:lvl w:ilvl="4" w:tplc="0302B0D2">
      <w:numFmt w:val="bullet"/>
      <w:lvlText w:val="•"/>
      <w:lvlJc w:val="left"/>
      <w:pPr>
        <w:ind w:left="3984" w:hanging="212"/>
      </w:pPr>
      <w:rPr>
        <w:rFonts w:hint="default"/>
        <w:lang w:val="en-US" w:eastAsia="en-US" w:bidi="ar-SA"/>
      </w:rPr>
    </w:lvl>
    <w:lvl w:ilvl="5" w:tplc="04A6D3EA">
      <w:numFmt w:val="bullet"/>
      <w:lvlText w:val="•"/>
      <w:lvlJc w:val="left"/>
      <w:pPr>
        <w:ind w:left="4950" w:hanging="212"/>
      </w:pPr>
      <w:rPr>
        <w:rFonts w:hint="default"/>
        <w:lang w:val="en-US" w:eastAsia="en-US" w:bidi="ar-SA"/>
      </w:rPr>
    </w:lvl>
    <w:lvl w:ilvl="6" w:tplc="53DA6CBA">
      <w:numFmt w:val="bullet"/>
      <w:lvlText w:val="•"/>
      <w:lvlJc w:val="left"/>
      <w:pPr>
        <w:ind w:left="5916" w:hanging="212"/>
      </w:pPr>
      <w:rPr>
        <w:rFonts w:hint="default"/>
        <w:lang w:val="en-US" w:eastAsia="en-US" w:bidi="ar-SA"/>
      </w:rPr>
    </w:lvl>
    <w:lvl w:ilvl="7" w:tplc="8F8A14B4">
      <w:numFmt w:val="bullet"/>
      <w:lvlText w:val="•"/>
      <w:lvlJc w:val="left"/>
      <w:pPr>
        <w:ind w:left="6882" w:hanging="212"/>
      </w:pPr>
      <w:rPr>
        <w:rFonts w:hint="default"/>
        <w:lang w:val="en-US" w:eastAsia="en-US" w:bidi="ar-SA"/>
      </w:rPr>
    </w:lvl>
    <w:lvl w:ilvl="8" w:tplc="BC3A7408">
      <w:numFmt w:val="bullet"/>
      <w:lvlText w:val="•"/>
      <w:lvlJc w:val="left"/>
      <w:pPr>
        <w:ind w:left="7848" w:hanging="212"/>
      </w:pPr>
      <w:rPr>
        <w:rFonts w:hint="default"/>
        <w:lang w:val="en-US" w:eastAsia="en-US" w:bidi="ar-SA"/>
      </w:rPr>
    </w:lvl>
  </w:abstractNum>
  <w:abstractNum w:abstractNumId="5" w15:restartNumberingAfterBreak="0">
    <w:nsid w:val="500D388D"/>
    <w:multiLevelType w:val="hybridMultilevel"/>
    <w:tmpl w:val="6BF0646E"/>
    <w:lvl w:ilvl="0" w:tplc="4009000F">
      <w:start w:val="1"/>
      <w:numFmt w:val="decimal"/>
      <w:lvlText w:val="%1."/>
      <w:lvlJc w:val="left"/>
      <w:pPr>
        <w:ind w:left="840" w:hanging="360"/>
      </w:p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6" w15:restartNumberingAfterBreak="0">
    <w:nsid w:val="63BF516E"/>
    <w:multiLevelType w:val="hybridMultilevel"/>
    <w:tmpl w:val="415E2FEC"/>
    <w:lvl w:ilvl="0" w:tplc="C11A7EFE">
      <w:start w:val="1"/>
      <w:numFmt w:val="lowerRoman"/>
      <w:lvlText w:val="%1)"/>
      <w:lvlJc w:val="left"/>
      <w:pPr>
        <w:ind w:left="120" w:hanging="240"/>
        <w:jc w:val="left"/>
      </w:pPr>
      <w:rPr>
        <w:rFonts w:ascii="Trebuchet MS" w:eastAsia="Trebuchet MS" w:hAnsi="Trebuchet MS" w:cs="Trebuchet MS" w:hint="default"/>
        <w:spacing w:val="-1"/>
        <w:w w:val="100"/>
        <w:sz w:val="22"/>
        <w:szCs w:val="22"/>
        <w:lang w:val="en-US" w:eastAsia="en-US" w:bidi="ar-SA"/>
      </w:rPr>
    </w:lvl>
    <w:lvl w:ilvl="1" w:tplc="614AA8E4">
      <w:numFmt w:val="bullet"/>
      <w:lvlText w:val="•"/>
      <w:lvlJc w:val="left"/>
      <w:pPr>
        <w:ind w:left="1086" w:hanging="240"/>
      </w:pPr>
      <w:rPr>
        <w:rFonts w:hint="default"/>
        <w:lang w:val="en-US" w:eastAsia="en-US" w:bidi="ar-SA"/>
      </w:rPr>
    </w:lvl>
    <w:lvl w:ilvl="2" w:tplc="9E966C62">
      <w:numFmt w:val="bullet"/>
      <w:lvlText w:val="•"/>
      <w:lvlJc w:val="left"/>
      <w:pPr>
        <w:ind w:left="2052" w:hanging="240"/>
      </w:pPr>
      <w:rPr>
        <w:rFonts w:hint="default"/>
        <w:lang w:val="en-US" w:eastAsia="en-US" w:bidi="ar-SA"/>
      </w:rPr>
    </w:lvl>
    <w:lvl w:ilvl="3" w:tplc="68702FAA">
      <w:numFmt w:val="bullet"/>
      <w:lvlText w:val="•"/>
      <w:lvlJc w:val="left"/>
      <w:pPr>
        <w:ind w:left="3018" w:hanging="240"/>
      </w:pPr>
      <w:rPr>
        <w:rFonts w:hint="default"/>
        <w:lang w:val="en-US" w:eastAsia="en-US" w:bidi="ar-SA"/>
      </w:rPr>
    </w:lvl>
    <w:lvl w:ilvl="4" w:tplc="D380901C">
      <w:numFmt w:val="bullet"/>
      <w:lvlText w:val="•"/>
      <w:lvlJc w:val="left"/>
      <w:pPr>
        <w:ind w:left="3984" w:hanging="240"/>
      </w:pPr>
      <w:rPr>
        <w:rFonts w:hint="default"/>
        <w:lang w:val="en-US" w:eastAsia="en-US" w:bidi="ar-SA"/>
      </w:rPr>
    </w:lvl>
    <w:lvl w:ilvl="5" w:tplc="0F7EDAFA">
      <w:numFmt w:val="bullet"/>
      <w:lvlText w:val="•"/>
      <w:lvlJc w:val="left"/>
      <w:pPr>
        <w:ind w:left="4950" w:hanging="240"/>
      </w:pPr>
      <w:rPr>
        <w:rFonts w:hint="default"/>
        <w:lang w:val="en-US" w:eastAsia="en-US" w:bidi="ar-SA"/>
      </w:rPr>
    </w:lvl>
    <w:lvl w:ilvl="6" w:tplc="4C2CCBE8">
      <w:numFmt w:val="bullet"/>
      <w:lvlText w:val="•"/>
      <w:lvlJc w:val="left"/>
      <w:pPr>
        <w:ind w:left="5916" w:hanging="240"/>
      </w:pPr>
      <w:rPr>
        <w:rFonts w:hint="default"/>
        <w:lang w:val="en-US" w:eastAsia="en-US" w:bidi="ar-SA"/>
      </w:rPr>
    </w:lvl>
    <w:lvl w:ilvl="7" w:tplc="2A10FBE2">
      <w:numFmt w:val="bullet"/>
      <w:lvlText w:val="•"/>
      <w:lvlJc w:val="left"/>
      <w:pPr>
        <w:ind w:left="6882" w:hanging="240"/>
      </w:pPr>
      <w:rPr>
        <w:rFonts w:hint="default"/>
        <w:lang w:val="en-US" w:eastAsia="en-US" w:bidi="ar-SA"/>
      </w:rPr>
    </w:lvl>
    <w:lvl w:ilvl="8" w:tplc="92764818">
      <w:numFmt w:val="bullet"/>
      <w:lvlText w:val="•"/>
      <w:lvlJc w:val="left"/>
      <w:pPr>
        <w:ind w:left="7848" w:hanging="240"/>
      </w:pPr>
      <w:rPr>
        <w:rFonts w:hint="default"/>
        <w:lang w:val="en-US" w:eastAsia="en-US" w:bidi="ar-SA"/>
      </w:rPr>
    </w:lvl>
  </w:abstractNum>
  <w:abstractNum w:abstractNumId="7" w15:restartNumberingAfterBreak="0">
    <w:nsid w:val="675034F0"/>
    <w:multiLevelType w:val="hybridMultilevel"/>
    <w:tmpl w:val="206C2208"/>
    <w:lvl w:ilvl="0" w:tplc="E57C495C">
      <w:start w:val="1"/>
      <w:numFmt w:val="lowerLetter"/>
      <w:lvlText w:val="%1)"/>
      <w:lvlJc w:val="left"/>
      <w:pPr>
        <w:ind w:left="120" w:hanging="324"/>
        <w:jc w:val="left"/>
      </w:pPr>
      <w:rPr>
        <w:rFonts w:ascii="Trebuchet MS" w:eastAsia="Trebuchet MS" w:hAnsi="Trebuchet MS" w:cs="Trebuchet MS" w:hint="default"/>
        <w:spacing w:val="-1"/>
        <w:w w:val="100"/>
        <w:sz w:val="22"/>
        <w:szCs w:val="22"/>
        <w:lang w:val="en-US" w:eastAsia="en-US" w:bidi="ar-SA"/>
      </w:rPr>
    </w:lvl>
    <w:lvl w:ilvl="1" w:tplc="A5C88792">
      <w:numFmt w:val="bullet"/>
      <w:lvlText w:val="•"/>
      <w:lvlJc w:val="left"/>
      <w:pPr>
        <w:ind w:left="1086" w:hanging="324"/>
      </w:pPr>
      <w:rPr>
        <w:rFonts w:hint="default"/>
        <w:lang w:val="en-US" w:eastAsia="en-US" w:bidi="ar-SA"/>
      </w:rPr>
    </w:lvl>
    <w:lvl w:ilvl="2" w:tplc="5906BC42">
      <w:numFmt w:val="bullet"/>
      <w:lvlText w:val="•"/>
      <w:lvlJc w:val="left"/>
      <w:pPr>
        <w:ind w:left="2052" w:hanging="324"/>
      </w:pPr>
      <w:rPr>
        <w:rFonts w:hint="default"/>
        <w:lang w:val="en-US" w:eastAsia="en-US" w:bidi="ar-SA"/>
      </w:rPr>
    </w:lvl>
    <w:lvl w:ilvl="3" w:tplc="DDAED8E8">
      <w:numFmt w:val="bullet"/>
      <w:lvlText w:val="•"/>
      <w:lvlJc w:val="left"/>
      <w:pPr>
        <w:ind w:left="3018" w:hanging="324"/>
      </w:pPr>
      <w:rPr>
        <w:rFonts w:hint="default"/>
        <w:lang w:val="en-US" w:eastAsia="en-US" w:bidi="ar-SA"/>
      </w:rPr>
    </w:lvl>
    <w:lvl w:ilvl="4" w:tplc="D33AFEA4">
      <w:numFmt w:val="bullet"/>
      <w:lvlText w:val="•"/>
      <w:lvlJc w:val="left"/>
      <w:pPr>
        <w:ind w:left="3984" w:hanging="324"/>
      </w:pPr>
      <w:rPr>
        <w:rFonts w:hint="default"/>
        <w:lang w:val="en-US" w:eastAsia="en-US" w:bidi="ar-SA"/>
      </w:rPr>
    </w:lvl>
    <w:lvl w:ilvl="5" w:tplc="8DE28E0A">
      <w:numFmt w:val="bullet"/>
      <w:lvlText w:val="•"/>
      <w:lvlJc w:val="left"/>
      <w:pPr>
        <w:ind w:left="4950" w:hanging="324"/>
      </w:pPr>
      <w:rPr>
        <w:rFonts w:hint="default"/>
        <w:lang w:val="en-US" w:eastAsia="en-US" w:bidi="ar-SA"/>
      </w:rPr>
    </w:lvl>
    <w:lvl w:ilvl="6" w:tplc="C2C207A4">
      <w:numFmt w:val="bullet"/>
      <w:lvlText w:val="•"/>
      <w:lvlJc w:val="left"/>
      <w:pPr>
        <w:ind w:left="5916" w:hanging="324"/>
      </w:pPr>
      <w:rPr>
        <w:rFonts w:hint="default"/>
        <w:lang w:val="en-US" w:eastAsia="en-US" w:bidi="ar-SA"/>
      </w:rPr>
    </w:lvl>
    <w:lvl w:ilvl="7" w:tplc="5FD87C4C">
      <w:numFmt w:val="bullet"/>
      <w:lvlText w:val="•"/>
      <w:lvlJc w:val="left"/>
      <w:pPr>
        <w:ind w:left="6882" w:hanging="324"/>
      </w:pPr>
      <w:rPr>
        <w:rFonts w:hint="default"/>
        <w:lang w:val="en-US" w:eastAsia="en-US" w:bidi="ar-SA"/>
      </w:rPr>
    </w:lvl>
    <w:lvl w:ilvl="8" w:tplc="077ED52A">
      <w:numFmt w:val="bullet"/>
      <w:lvlText w:val="•"/>
      <w:lvlJc w:val="left"/>
      <w:pPr>
        <w:ind w:left="7848" w:hanging="324"/>
      </w:pPr>
      <w:rPr>
        <w:rFonts w:hint="default"/>
        <w:lang w:val="en-US" w:eastAsia="en-US" w:bidi="ar-SA"/>
      </w:rPr>
    </w:lvl>
  </w:abstractNum>
  <w:num w:numId="1">
    <w:abstractNumId w:val="0"/>
  </w:num>
  <w:num w:numId="2">
    <w:abstractNumId w:val="3"/>
  </w:num>
  <w:num w:numId="3">
    <w:abstractNumId w:val="7"/>
  </w:num>
  <w:num w:numId="4">
    <w:abstractNumId w:val="2"/>
  </w:num>
  <w:num w:numId="5">
    <w:abstractNumId w:val="4"/>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shapeLayoutLikeWW8/>
    <w:compatSetting w:name="compatibilityMode" w:uri="http://schemas.microsoft.com/office/word" w:val="12"/>
    <w:compatSetting w:name="useWord2013TrackBottomHyphenation" w:uri="http://schemas.microsoft.com/office/word" w:val="1"/>
  </w:compat>
  <w:rsids>
    <w:rsidRoot w:val="00C15762"/>
    <w:rsid w:val="000D00D8"/>
    <w:rsid w:val="002D5F37"/>
    <w:rsid w:val="00336D96"/>
    <w:rsid w:val="00385391"/>
    <w:rsid w:val="004D09CB"/>
    <w:rsid w:val="004D5781"/>
    <w:rsid w:val="006C3D2A"/>
    <w:rsid w:val="007728C9"/>
    <w:rsid w:val="008D54BA"/>
    <w:rsid w:val="00907A8C"/>
    <w:rsid w:val="009A54CE"/>
    <w:rsid w:val="00B5662C"/>
    <w:rsid w:val="00BB0B84"/>
    <w:rsid w:val="00C15762"/>
    <w:rsid w:val="00C81259"/>
    <w:rsid w:val="00D45D8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B1403"/>
  <w15:docId w15:val="{690CA221-4590-4D58-887E-68E766C0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5762"/>
    <w:rPr>
      <w:rFonts w:ascii="Trebuchet MS" w:eastAsia="Trebuchet MS" w:hAnsi="Trebuchet MS" w:cs="Trebuchet MS"/>
    </w:rPr>
  </w:style>
  <w:style w:type="paragraph" w:styleId="Heading1">
    <w:name w:val="heading 1"/>
    <w:basedOn w:val="Normal"/>
    <w:uiPriority w:val="1"/>
    <w:qFormat/>
    <w:rsid w:val="00C15762"/>
    <w:pPr>
      <w:ind w:left="1255" w:right="1499"/>
      <w:jc w:val="center"/>
      <w:outlineLvl w:val="0"/>
    </w:pPr>
    <w:rPr>
      <w:rFonts w:ascii="Tahoma" w:eastAsia="Tahoma" w:hAnsi="Tahoma" w:cs="Tahoma"/>
      <w:b/>
      <w:bCs/>
      <w:sz w:val="32"/>
      <w:szCs w:val="32"/>
    </w:rPr>
  </w:style>
  <w:style w:type="paragraph" w:styleId="Heading2">
    <w:name w:val="heading 2"/>
    <w:basedOn w:val="Normal"/>
    <w:uiPriority w:val="1"/>
    <w:qFormat/>
    <w:rsid w:val="00C15762"/>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5762"/>
  </w:style>
  <w:style w:type="paragraph" w:styleId="ListParagraph">
    <w:name w:val="List Paragraph"/>
    <w:basedOn w:val="Normal"/>
    <w:uiPriority w:val="1"/>
    <w:qFormat/>
    <w:rsid w:val="00C15762"/>
    <w:pPr>
      <w:ind w:left="120"/>
      <w:jc w:val="both"/>
    </w:pPr>
  </w:style>
  <w:style w:type="paragraph" w:customStyle="1" w:styleId="TableParagraph">
    <w:name w:val="Table Paragraph"/>
    <w:basedOn w:val="Normal"/>
    <w:uiPriority w:val="1"/>
    <w:qFormat/>
    <w:rsid w:val="00C15762"/>
  </w:style>
  <w:style w:type="paragraph" w:styleId="BalloonText">
    <w:name w:val="Balloon Text"/>
    <w:basedOn w:val="Normal"/>
    <w:link w:val="BalloonTextChar"/>
    <w:uiPriority w:val="99"/>
    <w:semiHidden/>
    <w:unhideWhenUsed/>
    <w:rsid w:val="000D00D8"/>
    <w:rPr>
      <w:rFonts w:ascii="Tahoma" w:hAnsi="Tahoma" w:cs="Tahoma"/>
      <w:sz w:val="16"/>
      <w:szCs w:val="16"/>
    </w:rPr>
  </w:style>
  <w:style w:type="character" w:customStyle="1" w:styleId="BalloonTextChar">
    <w:name w:val="Balloon Text Char"/>
    <w:basedOn w:val="DefaultParagraphFont"/>
    <w:link w:val="BalloonText"/>
    <w:uiPriority w:val="99"/>
    <w:semiHidden/>
    <w:rsid w:val="000D00D8"/>
    <w:rPr>
      <w:rFonts w:ascii="Tahoma" w:eastAsia="Trebuchet MS" w:hAnsi="Tahoma" w:cs="Tahoma"/>
      <w:sz w:val="16"/>
      <w:szCs w:val="16"/>
    </w:rPr>
  </w:style>
  <w:style w:type="character" w:styleId="Hyperlink">
    <w:name w:val="Hyperlink"/>
    <w:basedOn w:val="DefaultParagraphFont"/>
    <w:uiPriority w:val="99"/>
    <w:unhideWhenUsed/>
    <w:rsid w:val="000D00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VINOD</dc:creator>
  <cp:lastModifiedBy>235</cp:lastModifiedBy>
  <cp:revision>11</cp:revision>
  <dcterms:created xsi:type="dcterms:W3CDTF">2022-03-11T15:30:00Z</dcterms:created>
  <dcterms:modified xsi:type="dcterms:W3CDTF">2022-04-15T10:47:00Z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2016</vt:lpwstr>
  </property>
  <property fmtid="{D5CDD505-2E9C-101B-9397-08002B2CF9AE}" pid="4" name="LastSaved">
    <vt:filetime>2022-03-11T00:00:00Z</vt:filetime>
  </property>
</Properties>
</file>