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02EE" w14:textId="07CC5805" w:rsidR="006C04C3" w:rsidRDefault="00743A9B" w:rsidP="00F95824">
      <w:pPr>
        <w:spacing w:before="113" w:line="278" w:lineRule="auto"/>
        <w:ind w:right="-28" w:firstLine="2"/>
        <w:jc w:val="center"/>
        <w:rPr>
          <w:b/>
          <w:sz w:val="44"/>
          <w:szCs w:val="44"/>
        </w:rPr>
      </w:pPr>
      <w:r>
        <w:rPr>
          <w:b/>
          <w:sz w:val="44"/>
          <w:szCs w:val="44"/>
        </w:rPr>
        <w:t>INFURNIA HOLDINGS</w:t>
      </w:r>
      <w:r w:rsidR="006C04C3" w:rsidRPr="00C374E5">
        <w:rPr>
          <w:b/>
          <w:sz w:val="44"/>
          <w:szCs w:val="44"/>
        </w:rPr>
        <w:t xml:space="preserve"> LIMITED</w:t>
      </w:r>
    </w:p>
    <w:p w14:paraId="1A612AD2" w14:textId="77777777" w:rsidR="00B62B8E" w:rsidRDefault="00B62B8E">
      <w:pPr>
        <w:pStyle w:val="BodyText"/>
        <w:ind w:left="0"/>
        <w:jc w:val="left"/>
        <w:rPr>
          <w:rFonts w:ascii="Times New Roman"/>
          <w:sz w:val="20"/>
        </w:rPr>
      </w:pPr>
    </w:p>
    <w:p w14:paraId="1CB48346" w14:textId="77777777" w:rsidR="00B62B8E" w:rsidRDefault="001D7A7C">
      <w:pPr>
        <w:pStyle w:val="Heading1"/>
        <w:spacing w:before="101"/>
        <w:ind w:left="2543" w:right="2560"/>
        <w:jc w:val="center"/>
      </w:pPr>
      <w:r>
        <w:rPr>
          <w:u w:val="thick"/>
        </w:rPr>
        <w:t>POLICY</w:t>
      </w:r>
      <w:r>
        <w:rPr>
          <w:spacing w:val="-4"/>
          <w:u w:val="thick"/>
        </w:rPr>
        <w:t xml:space="preserve"> </w:t>
      </w:r>
      <w:r>
        <w:rPr>
          <w:u w:val="thick"/>
        </w:rPr>
        <w:t>ON</w:t>
      </w:r>
      <w:r>
        <w:rPr>
          <w:spacing w:val="-3"/>
          <w:u w:val="thick"/>
        </w:rPr>
        <w:t xml:space="preserve"> </w:t>
      </w:r>
      <w:r>
        <w:rPr>
          <w:u w:val="thick"/>
        </w:rPr>
        <w:t>RELATED</w:t>
      </w:r>
      <w:r>
        <w:rPr>
          <w:spacing w:val="-2"/>
          <w:u w:val="thick"/>
        </w:rPr>
        <w:t xml:space="preserve"> </w:t>
      </w:r>
      <w:r>
        <w:rPr>
          <w:u w:val="thick"/>
        </w:rPr>
        <w:t>PARTY</w:t>
      </w:r>
      <w:r>
        <w:rPr>
          <w:spacing w:val="-3"/>
          <w:u w:val="thick"/>
        </w:rPr>
        <w:t xml:space="preserve"> </w:t>
      </w:r>
      <w:r>
        <w:rPr>
          <w:u w:val="thick"/>
        </w:rPr>
        <w:t>TRANSACTIONS</w:t>
      </w:r>
    </w:p>
    <w:p w14:paraId="541CC4C2" w14:textId="77777777" w:rsidR="00B62B8E" w:rsidRDefault="00B62B8E">
      <w:pPr>
        <w:pStyle w:val="BodyText"/>
        <w:spacing w:before="9"/>
        <w:ind w:left="0"/>
        <w:jc w:val="left"/>
        <w:rPr>
          <w:b/>
          <w:sz w:val="19"/>
        </w:rPr>
      </w:pPr>
    </w:p>
    <w:p w14:paraId="6EB52662" w14:textId="77777777" w:rsidR="00B62B8E" w:rsidRDefault="00C05DF0">
      <w:pPr>
        <w:pStyle w:val="ListParagraph"/>
        <w:numPr>
          <w:ilvl w:val="0"/>
          <w:numId w:val="3"/>
        </w:numPr>
        <w:tabs>
          <w:tab w:val="left" w:pos="379"/>
        </w:tabs>
        <w:spacing w:before="101"/>
        <w:rPr>
          <w:b/>
        </w:rPr>
      </w:pPr>
      <w:r>
        <w:rPr>
          <w:b/>
        </w:rPr>
        <w:t>INTRODUCTION</w:t>
      </w:r>
    </w:p>
    <w:p w14:paraId="368E6AA0" w14:textId="6458F0CE" w:rsidR="00C05DF0" w:rsidRDefault="00C05DF0" w:rsidP="00C05DF0">
      <w:pPr>
        <w:pStyle w:val="Heading1"/>
        <w:tabs>
          <w:tab w:val="left" w:pos="377"/>
        </w:tabs>
        <w:ind w:left="426"/>
        <w:rPr>
          <w:b w:val="0"/>
          <w:bCs w:val="0"/>
        </w:rPr>
      </w:pPr>
      <w:r w:rsidRPr="00C05DF0">
        <w:rPr>
          <w:b w:val="0"/>
          <w:bCs w:val="0"/>
        </w:rPr>
        <w:t xml:space="preserve">The Board of Directors (the “Board”) of </w:t>
      </w:r>
      <w:r w:rsidR="00743A9B">
        <w:rPr>
          <w:b w:val="0"/>
          <w:bCs w:val="0"/>
        </w:rPr>
        <w:t>Infurnia Holdings</w:t>
      </w:r>
      <w:r>
        <w:rPr>
          <w:b w:val="0"/>
          <w:bCs w:val="0"/>
        </w:rPr>
        <w:t xml:space="preserve"> </w:t>
      </w:r>
      <w:r w:rsidRPr="00C05DF0">
        <w:rPr>
          <w:b w:val="0"/>
          <w:bCs w:val="0"/>
        </w:rPr>
        <w:t xml:space="preserve">Limited (the “Company”) </w:t>
      </w:r>
      <w:r w:rsidR="00F7520B">
        <w:rPr>
          <w:b w:val="0"/>
          <w:bCs w:val="0"/>
        </w:rPr>
        <w:t xml:space="preserve">(previously known as Infurnia Furnishings Private Limited) </w:t>
      </w:r>
      <w:r w:rsidRPr="00C05DF0">
        <w:rPr>
          <w:b w:val="0"/>
          <w:bCs w:val="0"/>
        </w:rPr>
        <w:t xml:space="preserve">has upon the recommendation of the Audit Committee, adopted the following policy with regard to Related Party Transactions (hereinafter referred to as the ‘RPT Policy’ or ‘Policy’), in line with the requirements of Section 188 of Companies Act, 2013 read with Rules made thereunder (hereinafter referred to as ‘the Act’) and Regulation 23 of the Securities and Exchange Board of India (Listing Obligations and Disclosure Requirements) Regulations, 2015 (hereinafter referred to as ‘LODR’). </w:t>
      </w:r>
    </w:p>
    <w:p w14:paraId="109D3AB1" w14:textId="77777777" w:rsidR="00C05DF0" w:rsidRDefault="00C05DF0" w:rsidP="00C05DF0">
      <w:pPr>
        <w:pStyle w:val="ListParagraph"/>
        <w:tabs>
          <w:tab w:val="left" w:pos="379"/>
        </w:tabs>
        <w:spacing w:before="101"/>
        <w:ind w:left="378" w:firstLine="0"/>
        <w:rPr>
          <w:b/>
        </w:rPr>
      </w:pPr>
    </w:p>
    <w:p w14:paraId="7AE16579" w14:textId="77777777" w:rsidR="00C05DF0" w:rsidRDefault="00C05DF0">
      <w:pPr>
        <w:pStyle w:val="ListParagraph"/>
        <w:numPr>
          <w:ilvl w:val="0"/>
          <w:numId w:val="3"/>
        </w:numPr>
        <w:tabs>
          <w:tab w:val="left" w:pos="379"/>
        </w:tabs>
        <w:spacing w:before="101"/>
        <w:rPr>
          <w:b/>
        </w:rPr>
      </w:pPr>
      <w:r>
        <w:rPr>
          <w:b/>
        </w:rPr>
        <w:t>PURPOSE</w:t>
      </w:r>
    </w:p>
    <w:p w14:paraId="33FED69B" w14:textId="77777777" w:rsidR="00C05DF0" w:rsidRDefault="00C05DF0" w:rsidP="00C05DF0">
      <w:pPr>
        <w:pStyle w:val="ListParagraph"/>
        <w:tabs>
          <w:tab w:val="left" w:pos="379"/>
        </w:tabs>
        <w:spacing w:before="101"/>
        <w:ind w:left="378" w:firstLine="0"/>
        <w:rPr>
          <w:b/>
        </w:rPr>
      </w:pPr>
      <w:r>
        <w:t>The objective of this policy is to ensure proper approval, disclosure and reporting of transactions as applicable, between the Company and any of its related parties in the best interest of the Company and its stakeholders. This Policy deals with materiality threshold, process of identification, disclosures and the manner of dealing Transactions with Related Party by the Company keeping in view the provisions of the Act read with the rules made thereunder and LODR.</w:t>
      </w:r>
    </w:p>
    <w:p w14:paraId="527BD7B1" w14:textId="77777777" w:rsidR="00B62B8E" w:rsidRDefault="001D7A7C">
      <w:pPr>
        <w:pStyle w:val="Heading1"/>
        <w:numPr>
          <w:ilvl w:val="0"/>
          <w:numId w:val="3"/>
        </w:numPr>
        <w:tabs>
          <w:tab w:val="left" w:pos="379"/>
        </w:tabs>
        <w:spacing w:before="215"/>
      </w:pPr>
      <w:r>
        <w:t>DEFINITIONS</w:t>
      </w:r>
    </w:p>
    <w:p w14:paraId="740E83E7" w14:textId="77777777" w:rsidR="00B62B8E" w:rsidRDefault="001D7A7C">
      <w:pPr>
        <w:spacing w:before="172" w:line="276" w:lineRule="auto"/>
        <w:ind w:left="100" w:right="119"/>
        <w:jc w:val="both"/>
      </w:pPr>
      <w:r>
        <w:rPr>
          <w:b/>
        </w:rPr>
        <w:t xml:space="preserve">“Arm’s length transaction (‘ALP’)” </w:t>
      </w:r>
      <w:r>
        <w:t>means a transaction between two related parties that is</w:t>
      </w:r>
      <w:r>
        <w:rPr>
          <w:spacing w:val="1"/>
        </w:rPr>
        <w:t xml:space="preserve"> </w:t>
      </w:r>
      <w:r>
        <w:t>conducted</w:t>
      </w:r>
      <w:r>
        <w:rPr>
          <w:spacing w:val="-1"/>
        </w:rPr>
        <w:t xml:space="preserve"> </w:t>
      </w:r>
      <w:r>
        <w:t>as</w:t>
      </w:r>
      <w:r>
        <w:rPr>
          <w:spacing w:val="-2"/>
        </w:rPr>
        <w:t xml:space="preserve"> </w:t>
      </w:r>
      <w:r>
        <w:t>if</w:t>
      </w:r>
      <w:r>
        <w:rPr>
          <w:spacing w:val="-1"/>
        </w:rPr>
        <w:t xml:space="preserve"> </w:t>
      </w:r>
      <w:r>
        <w:t>they</w:t>
      </w:r>
      <w:r>
        <w:rPr>
          <w:spacing w:val="-1"/>
        </w:rPr>
        <w:t xml:space="preserve"> </w:t>
      </w:r>
      <w:r>
        <w:t>were</w:t>
      </w:r>
      <w:r>
        <w:rPr>
          <w:spacing w:val="-1"/>
        </w:rPr>
        <w:t xml:space="preserve"> </w:t>
      </w:r>
      <w:r>
        <w:t>unrelated, so</w:t>
      </w:r>
      <w:r>
        <w:rPr>
          <w:spacing w:val="-2"/>
        </w:rPr>
        <w:t xml:space="preserve"> </w:t>
      </w:r>
      <w:r>
        <w:t>that</w:t>
      </w:r>
      <w:r>
        <w:rPr>
          <w:spacing w:val="-1"/>
        </w:rPr>
        <w:t xml:space="preserve"> </w:t>
      </w:r>
      <w:r>
        <w:t>there</w:t>
      </w:r>
      <w:r>
        <w:rPr>
          <w:spacing w:val="-1"/>
        </w:rPr>
        <w:t xml:space="preserve"> </w:t>
      </w:r>
      <w:r>
        <w:t>is</w:t>
      </w:r>
      <w:r>
        <w:rPr>
          <w:spacing w:val="-2"/>
        </w:rPr>
        <w:t xml:space="preserve"> </w:t>
      </w:r>
      <w:r>
        <w:t>no</w:t>
      </w:r>
      <w:r>
        <w:rPr>
          <w:spacing w:val="-2"/>
        </w:rPr>
        <w:t xml:space="preserve"> </w:t>
      </w:r>
      <w:r>
        <w:t>conflict</w:t>
      </w:r>
      <w:r>
        <w:rPr>
          <w:spacing w:val="-3"/>
        </w:rPr>
        <w:t xml:space="preserve"> </w:t>
      </w:r>
      <w:r>
        <w:t>of</w:t>
      </w:r>
      <w:r>
        <w:rPr>
          <w:spacing w:val="-1"/>
        </w:rPr>
        <w:t xml:space="preserve"> </w:t>
      </w:r>
      <w:r>
        <w:t>interest.</w:t>
      </w:r>
    </w:p>
    <w:p w14:paraId="6BE7369E" w14:textId="77777777" w:rsidR="00C05DF0" w:rsidRDefault="00C05DF0">
      <w:pPr>
        <w:spacing w:before="172" w:line="276" w:lineRule="auto"/>
        <w:ind w:left="100" w:right="119"/>
        <w:jc w:val="both"/>
      </w:pPr>
      <w:r>
        <w:rPr>
          <w:b/>
        </w:rPr>
        <w:t xml:space="preserve">“Audit Committee” </w:t>
      </w:r>
      <w:r>
        <w:t>means Committee of Board of Directors of the Company constituted under provisions of Regulation 18 of LODR and Section 177 of the Act.</w:t>
      </w:r>
    </w:p>
    <w:p w14:paraId="2027356D" w14:textId="2BEA1B00" w:rsidR="006947B8" w:rsidRDefault="006947B8">
      <w:pPr>
        <w:spacing w:before="172" w:line="276" w:lineRule="auto"/>
        <w:ind w:left="100" w:right="119"/>
        <w:jc w:val="both"/>
      </w:pPr>
      <w:r>
        <w:rPr>
          <w:b/>
        </w:rPr>
        <w:t xml:space="preserve">“Board of Directors” or “Board” </w:t>
      </w:r>
      <w:r>
        <w:t xml:space="preserve">in relation to the Company means the collective body of the directors of </w:t>
      </w:r>
      <w:r w:rsidR="00743A9B">
        <w:t>Infurnia Holdings</w:t>
      </w:r>
      <w:r>
        <w:t xml:space="preserve"> Limited.</w:t>
      </w:r>
    </w:p>
    <w:p w14:paraId="1B394AFA" w14:textId="155FC4FB" w:rsidR="006947B8" w:rsidRDefault="006947B8">
      <w:pPr>
        <w:spacing w:before="172" w:line="276" w:lineRule="auto"/>
        <w:ind w:left="100" w:right="119"/>
        <w:jc w:val="both"/>
        <w:rPr>
          <w:bCs/>
        </w:rPr>
      </w:pPr>
      <w:r>
        <w:rPr>
          <w:b/>
        </w:rPr>
        <w:t xml:space="preserve">“Company” </w:t>
      </w:r>
      <w:r w:rsidRPr="006947B8">
        <w:rPr>
          <w:bCs/>
        </w:rPr>
        <w:t xml:space="preserve">means </w:t>
      </w:r>
      <w:r w:rsidR="00743A9B">
        <w:rPr>
          <w:bCs/>
        </w:rPr>
        <w:t>Infurnia Holdings</w:t>
      </w:r>
      <w:r w:rsidRPr="006947B8">
        <w:rPr>
          <w:bCs/>
        </w:rPr>
        <w:t xml:space="preserve"> Limited</w:t>
      </w:r>
      <w:r>
        <w:rPr>
          <w:bCs/>
        </w:rPr>
        <w:t>.</w:t>
      </w:r>
    </w:p>
    <w:p w14:paraId="7FFE0B05" w14:textId="77777777" w:rsidR="006947B8" w:rsidRDefault="006947B8">
      <w:pPr>
        <w:spacing w:before="172" w:line="276" w:lineRule="auto"/>
        <w:ind w:left="100" w:right="119"/>
        <w:jc w:val="both"/>
      </w:pPr>
      <w:r>
        <w:t>“</w:t>
      </w:r>
      <w:r w:rsidRPr="006947B8">
        <w:rPr>
          <w:b/>
          <w:bCs/>
        </w:rPr>
        <w:t>Key Managerial Personne</w:t>
      </w:r>
      <w:r>
        <w:rPr>
          <w:b/>
          <w:bCs/>
        </w:rPr>
        <w:t>l</w:t>
      </w:r>
      <w:r>
        <w:t xml:space="preserve">” (KMP) in relation to the Company means </w:t>
      </w:r>
    </w:p>
    <w:p w14:paraId="4FF9B37B" w14:textId="77777777" w:rsidR="006947B8" w:rsidRDefault="006947B8" w:rsidP="006947B8">
      <w:pPr>
        <w:pStyle w:val="ListParagraph"/>
        <w:spacing w:line="276" w:lineRule="auto"/>
        <w:ind w:left="820" w:right="119" w:firstLine="0"/>
      </w:pPr>
    </w:p>
    <w:p w14:paraId="3967487B" w14:textId="77777777" w:rsidR="006947B8" w:rsidRDefault="006947B8" w:rsidP="006947B8">
      <w:pPr>
        <w:pStyle w:val="ListParagraph"/>
        <w:numPr>
          <w:ilvl w:val="0"/>
          <w:numId w:val="4"/>
        </w:numPr>
        <w:spacing w:line="276" w:lineRule="auto"/>
        <w:ind w:right="119"/>
      </w:pPr>
      <w:r>
        <w:t xml:space="preserve">the Chief Executive Officer, or the Managing Director or the Manager; </w:t>
      </w:r>
    </w:p>
    <w:p w14:paraId="4A546582" w14:textId="77777777" w:rsidR="006947B8" w:rsidRDefault="006947B8" w:rsidP="006947B8">
      <w:pPr>
        <w:pStyle w:val="ListParagraph"/>
        <w:numPr>
          <w:ilvl w:val="0"/>
          <w:numId w:val="4"/>
        </w:numPr>
        <w:spacing w:line="276" w:lineRule="auto"/>
        <w:ind w:right="119"/>
      </w:pPr>
      <w:r>
        <w:t xml:space="preserve">the Company Secretary; </w:t>
      </w:r>
    </w:p>
    <w:p w14:paraId="22C7095D" w14:textId="77777777" w:rsidR="006947B8" w:rsidRDefault="006947B8" w:rsidP="006947B8">
      <w:pPr>
        <w:pStyle w:val="ListParagraph"/>
        <w:numPr>
          <w:ilvl w:val="0"/>
          <w:numId w:val="4"/>
        </w:numPr>
        <w:spacing w:line="276" w:lineRule="auto"/>
        <w:ind w:right="119"/>
      </w:pPr>
      <w:r>
        <w:t xml:space="preserve">the Whole-time director; </w:t>
      </w:r>
    </w:p>
    <w:p w14:paraId="48BF0628" w14:textId="77777777" w:rsidR="006947B8" w:rsidRDefault="006947B8" w:rsidP="006947B8">
      <w:pPr>
        <w:pStyle w:val="ListParagraph"/>
        <w:numPr>
          <w:ilvl w:val="0"/>
          <w:numId w:val="4"/>
        </w:numPr>
        <w:spacing w:line="276" w:lineRule="auto"/>
        <w:ind w:right="119"/>
      </w:pPr>
      <w:r>
        <w:t xml:space="preserve">Chief Financial Officer; and </w:t>
      </w:r>
    </w:p>
    <w:p w14:paraId="635C1069" w14:textId="77777777" w:rsidR="006947B8" w:rsidRDefault="006947B8" w:rsidP="006947B8">
      <w:pPr>
        <w:pStyle w:val="ListParagraph"/>
        <w:numPr>
          <w:ilvl w:val="0"/>
          <w:numId w:val="4"/>
        </w:numPr>
        <w:spacing w:line="276" w:lineRule="auto"/>
        <w:ind w:right="119"/>
      </w:pPr>
      <w:r>
        <w:t xml:space="preserve">such other officer, not more than one level below the directors who is in whole-time employment, designated as key managerial personnel by the Board; and </w:t>
      </w:r>
    </w:p>
    <w:p w14:paraId="5DEE6ADA" w14:textId="77777777" w:rsidR="006947B8" w:rsidRDefault="006947B8" w:rsidP="006947B8">
      <w:pPr>
        <w:pStyle w:val="ListParagraph"/>
        <w:numPr>
          <w:ilvl w:val="0"/>
          <w:numId w:val="4"/>
        </w:numPr>
        <w:spacing w:line="276" w:lineRule="auto"/>
        <w:ind w:right="119"/>
      </w:pPr>
      <w:r>
        <w:t>such other officer as may be prescribed.</w:t>
      </w:r>
    </w:p>
    <w:p w14:paraId="1E861DD1" w14:textId="77777777" w:rsidR="006947B8" w:rsidRDefault="006947B8" w:rsidP="006947B8">
      <w:pPr>
        <w:pStyle w:val="ListParagraph"/>
        <w:spacing w:line="276" w:lineRule="auto"/>
        <w:ind w:left="820" w:right="119" w:firstLine="0"/>
      </w:pPr>
    </w:p>
    <w:p w14:paraId="1A328EA1" w14:textId="77777777" w:rsidR="006947B8" w:rsidRDefault="006947B8" w:rsidP="006947B8">
      <w:pPr>
        <w:pStyle w:val="ListParagraph"/>
        <w:spacing w:line="276" w:lineRule="auto"/>
        <w:ind w:left="142" w:right="119" w:firstLine="0"/>
      </w:pPr>
      <w:r w:rsidRPr="006947B8">
        <w:rPr>
          <w:b/>
          <w:bCs/>
        </w:rPr>
        <w:t>“Material Related Party Transaction</w:t>
      </w:r>
      <w:r>
        <w:t xml:space="preserve">” means a transaction with a Related Party if the transaction / transactions to be entered into individually or taken together with previous transactions during a financial year exceeds ten percent of the annual consolidated turnover </w:t>
      </w:r>
      <w:r>
        <w:lastRenderedPageBreak/>
        <w:t>of the company as per the last audited financial statements of the company.</w:t>
      </w:r>
    </w:p>
    <w:p w14:paraId="209676B4" w14:textId="77777777" w:rsidR="006947B8" w:rsidRDefault="006947B8" w:rsidP="006947B8">
      <w:pPr>
        <w:pStyle w:val="ListParagraph"/>
        <w:spacing w:line="276" w:lineRule="auto"/>
        <w:ind w:left="142" w:right="119" w:firstLine="0"/>
      </w:pPr>
    </w:p>
    <w:p w14:paraId="4754A46B" w14:textId="77777777" w:rsidR="00B62B8E" w:rsidRDefault="001D7A7C">
      <w:pPr>
        <w:pStyle w:val="BodyText"/>
        <w:spacing w:line="276" w:lineRule="auto"/>
        <w:ind w:right="116"/>
      </w:pPr>
      <w:r>
        <w:rPr>
          <w:b/>
        </w:rPr>
        <w:t xml:space="preserve">“Related Party”, </w:t>
      </w:r>
      <w:r>
        <w:t>with reference to a Company, shall have the same meaning as defined in</w:t>
      </w:r>
      <w:r>
        <w:rPr>
          <w:spacing w:val="1"/>
        </w:rPr>
        <w:t xml:space="preserve"> </w:t>
      </w:r>
      <w:r>
        <w:t>Section</w:t>
      </w:r>
      <w:r>
        <w:rPr>
          <w:spacing w:val="-2"/>
        </w:rPr>
        <w:t xml:space="preserve"> </w:t>
      </w:r>
      <w:r>
        <w:t>2(76) of</w:t>
      </w:r>
      <w:r>
        <w:rPr>
          <w:spacing w:val="-1"/>
        </w:rPr>
        <w:t xml:space="preserve"> </w:t>
      </w:r>
      <w:r>
        <w:t>the</w:t>
      </w:r>
      <w:r>
        <w:rPr>
          <w:spacing w:val="-1"/>
        </w:rPr>
        <w:t xml:space="preserve"> </w:t>
      </w:r>
      <w:r>
        <w:t>Companies</w:t>
      </w:r>
      <w:r>
        <w:rPr>
          <w:spacing w:val="-2"/>
        </w:rPr>
        <w:t xml:space="preserve"> </w:t>
      </w:r>
      <w:r>
        <w:t>Act, 2013</w:t>
      </w:r>
      <w:r>
        <w:rPr>
          <w:spacing w:val="-2"/>
        </w:rPr>
        <w:t xml:space="preserve"> </w:t>
      </w:r>
      <w:r w:rsidR="006947B8">
        <w:t>or Listing Regulations or under the applicable accounting standards as amended from time to time.</w:t>
      </w:r>
    </w:p>
    <w:p w14:paraId="15346C39" w14:textId="77777777" w:rsidR="00B62B8E" w:rsidRDefault="001D7A7C">
      <w:pPr>
        <w:pStyle w:val="Heading1"/>
        <w:spacing w:before="214"/>
        <w:rPr>
          <w:b w:val="0"/>
        </w:rPr>
      </w:pPr>
      <w:r>
        <w:t>“Related</w:t>
      </w:r>
      <w:r>
        <w:rPr>
          <w:spacing w:val="-3"/>
        </w:rPr>
        <w:t xml:space="preserve"> </w:t>
      </w:r>
      <w:r>
        <w:t>Party</w:t>
      </w:r>
      <w:r>
        <w:rPr>
          <w:spacing w:val="-2"/>
        </w:rPr>
        <w:t xml:space="preserve"> </w:t>
      </w:r>
      <w:r>
        <w:t>Transaction”</w:t>
      </w:r>
      <w:r>
        <w:rPr>
          <w:spacing w:val="-2"/>
        </w:rPr>
        <w:t xml:space="preserve"> </w:t>
      </w:r>
      <w:r>
        <w:t xml:space="preserve">(RPT) </w:t>
      </w:r>
      <w:r>
        <w:rPr>
          <w:b w:val="0"/>
        </w:rPr>
        <w:t>means</w:t>
      </w:r>
      <w:r>
        <w:rPr>
          <w:b w:val="0"/>
          <w:spacing w:val="-3"/>
        </w:rPr>
        <w:t xml:space="preserve"> </w:t>
      </w:r>
      <w:r>
        <w:rPr>
          <w:b w:val="0"/>
        </w:rPr>
        <w:t>–</w:t>
      </w:r>
    </w:p>
    <w:p w14:paraId="172887E6" w14:textId="77777777" w:rsidR="00B62B8E" w:rsidRDefault="00B62B8E">
      <w:pPr>
        <w:pStyle w:val="BodyText"/>
        <w:spacing w:before="7"/>
        <w:ind w:left="0"/>
        <w:jc w:val="left"/>
        <w:rPr>
          <w:sz w:val="21"/>
        </w:rPr>
      </w:pPr>
    </w:p>
    <w:p w14:paraId="08F23715" w14:textId="77777777" w:rsidR="00B62B8E" w:rsidRDefault="001D7A7C">
      <w:pPr>
        <w:pStyle w:val="ListParagraph"/>
        <w:numPr>
          <w:ilvl w:val="1"/>
          <w:numId w:val="3"/>
        </w:numPr>
        <w:tabs>
          <w:tab w:val="left" w:pos="821"/>
        </w:tabs>
        <w:spacing w:line="276" w:lineRule="auto"/>
        <w:ind w:right="113"/>
      </w:pPr>
      <w:r>
        <w:t>For the purpose of the Act, specified transaction mentioned in clause (a) to(g) of sub-</w:t>
      </w:r>
      <w:r>
        <w:rPr>
          <w:spacing w:val="1"/>
        </w:rPr>
        <w:t xml:space="preserve"> </w:t>
      </w:r>
      <w:r>
        <w:t>section</w:t>
      </w:r>
      <w:r>
        <w:rPr>
          <w:spacing w:val="-1"/>
        </w:rPr>
        <w:t xml:space="preserve"> </w:t>
      </w:r>
      <w:r>
        <w:t>1 of Section 188;</w:t>
      </w:r>
    </w:p>
    <w:p w14:paraId="4F37E0C4" w14:textId="77777777" w:rsidR="00501945" w:rsidRDefault="006947B8" w:rsidP="00501945">
      <w:pPr>
        <w:pStyle w:val="BodyText"/>
        <w:numPr>
          <w:ilvl w:val="0"/>
          <w:numId w:val="5"/>
        </w:numPr>
        <w:spacing w:before="80" w:line="276" w:lineRule="auto"/>
      </w:pPr>
      <w:r>
        <w:t>for the purpose of LODR, a transfer of resources, services or obligations between the Company and a related party, regardless of whether a price is charged and a "transaction" with a related party shall be construed to include a single transaction or a group of transactions in a contract.</w:t>
      </w:r>
    </w:p>
    <w:p w14:paraId="2DB6ABA0" w14:textId="77777777" w:rsidR="00501945" w:rsidRDefault="00501945" w:rsidP="00501945">
      <w:pPr>
        <w:pStyle w:val="BodyText"/>
        <w:spacing w:before="80" w:line="276" w:lineRule="auto"/>
      </w:pPr>
    </w:p>
    <w:p w14:paraId="53E2EC98" w14:textId="77777777" w:rsidR="00501945" w:rsidRDefault="00501945" w:rsidP="00501945">
      <w:pPr>
        <w:pStyle w:val="BodyText"/>
        <w:spacing w:before="80" w:line="276" w:lineRule="auto"/>
      </w:pPr>
      <w:r w:rsidRPr="00501945">
        <w:rPr>
          <w:b/>
          <w:bCs/>
        </w:rPr>
        <w:t>“Relatives”</w:t>
      </w:r>
      <w:r>
        <w:t xml:space="preserve"> with reference to any person shall have the meaning as defined in Section 2(77) of the Act read with clause 4 of The Companies (Specification of definition details) Rules, 2014.</w:t>
      </w:r>
    </w:p>
    <w:p w14:paraId="439B6A65" w14:textId="77777777" w:rsidR="00501945" w:rsidRDefault="00501945">
      <w:pPr>
        <w:pStyle w:val="BodyText"/>
        <w:spacing w:line="276" w:lineRule="auto"/>
        <w:jc w:val="left"/>
      </w:pPr>
    </w:p>
    <w:p w14:paraId="3C4D831A" w14:textId="77777777" w:rsidR="00B62B8E" w:rsidRDefault="001D7A7C">
      <w:pPr>
        <w:pStyle w:val="BodyText"/>
        <w:spacing w:line="276" w:lineRule="auto"/>
        <w:jc w:val="left"/>
      </w:pPr>
      <w:r>
        <w:t>A</w:t>
      </w:r>
      <w:r>
        <w:rPr>
          <w:spacing w:val="41"/>
        </w:rPr>
        <w:t xml:space="preserve"> </w:t>
      </w:r>
      <w:r>
        <w:rPr>
          <w:b/>
        </w:rPr>
        <w:t>"transaction"</w:t>
      </w:r>
      <w:r>
        <w:rPr>
          <w:b/>
          <w:spacing w:val="41"/>
        </w:rPr>
        <w:t xml:space="preserve"> </w:t>
      </w:r>
      <w:r>
        <w:t>with</w:t>
      </w:r>
      <w:r>
        <w:rPr>
          <w:spacing w:val="41"/>
        </w:rPr>
        <w:t xml:space="preserve"> </w:t>
      </w:r>
      <w:r>
        <w:t>a</w:t>
      </w:r>
      <w:r>
        <w:rPr>
          <w:spacing w:val="38"/>
        </w:rPr>
        <w:t xml:space="preserve"> </w:t>
      </w:r>
      <w:r>
        <w:t>related</w:t>
      </w:r>
      <w:r>
        <w:rPr>
          <w:spacing w:val="41"/>
        </w:rPr>
        <w:t xml:space="preserve"> </w:t>
      </w:r>
      <w:r>
        <w:t>party</w:t>
      </w:r>
      <w:r>
        <w:rPr>
          <w:spacing w:val="40"/>
        </w:rPr>
        <w:t xml:space="preserve"> </w:t>
      </w:r>
      <w:r>
        <w:t>shall</w:t>
      </w:r>
      <w:r>
        <w:rPr>
          <w:spacing w:val="41"/>
        </w:rPr>
        <w:t xml:space="preserve"> </w:t>
      </w:r>
      <w:r>
        <w:t>be</w:t>
      </w:r>
      <w:r>
        <w:rPr>
          <w:spacing w:val="40"/>
        </w:rPr>
        <w:t xml:space="preserve"> </w:t>
      </w:r>
      <w:r>
        <w:t>construed</w:t>
      </w:r>
      <w:r>
        <w:rPr>
          <w:spacing w:val="40"/>
        </w:rPr>
        <w:t xml:space="preserve"> </w:t>
      </w:r>
      <w:r>
        <w:t>to</w:t>
      </w:r>
      <w:r>
        <w:rPr>
          <w:spacing w:val="41"/>
        </w:rPr>
        <w:t xml:space="preserve"> </w:t>
      </w:r>
      <w:r>
        <w:t>include</w:t>
      </w:r>
      <w:r>
        <w:rPr>
          <w:spacing w:val="40"/>
        </w:rPr>
        <w:t xml:space="preserve"> </w:t>
      </w:r>
      <w:r>
        <w:t>single</w:t>
      </w:r>
      <w:r>
        <w:rPr>
          <w:spacing w:val="41"/>
        </w:rPr>
        <w:t xml:space="preserve"> </w:t>
      </w:r>
      <w:r>
        <w:t>transaction</w:t>
      </w:r>
      <w:r>
        <w:rPr>
          <w:spacing w:val="40"/>
        </w:rPr>
        <w:t xml:space="preserve"> </w:t>
      </w:r>
      <w:r>
        <w:t>or</w:t>
      </w:r>
      <w:r>
        <w:rPr>
          <w:spacing w:val="43"/>
        </w:rPr>
        <w:t xml:space="preserve"> </w:t>
      </w:r>
      <w:r>
        <w:t>a</w:t>
      </w:r>
      <w:r>
        <w:rPr>
          <w:spacing w:val="-64"/>
        </w:rPr>
        <w:t xml:space="preserve"> </w:t>
      </w:r>
      <w:r>
        <w:t>group</w:t>
      </w:r>
      <w:r>
        <w:rPr>
          <w:spacing w:val="-2"/>
        </w:rPr>
        <w:t xml:space="preserve"> </w:t>
      </w:r>
      <w:r>
        <w:t>of transactions</w:t>
      </w:r>
      <w:r>
        <w:rPr>
          <w:spacing w:val="-1"/>
        </w:rPr>
        <w:t xml:space="preserve"> </w:t>
      </w:r>
      <w:r>
        <w:t>in</w:t>
      </w:r>
      <w:r>
        <w:rPr>
          <w:spacing w:val="1"/>
        </w:rPr>
        <w:t xml:space="preserve"> </w:t>
      </w:r>
      <w:r>
        <w:t>a</w:t>
      </w:r>
      <w:r>
        <w:rPr>
          <w:spacing w:val="-1"/>
        </w:rPr>
        <w:t xml:space="preserve"> </w:t>
      </w:r>
      <w:r>
        <w:t>contract.</w:t>
      </w:r>
    </w:p>
    <w:p w14:paraId="04AB5131" w14:textId="77777777" w:rsidR="00501945" w:rsidRDefault="00501945">
      <w:pPr>
        <w:pStyle w:val="BodyText"/>
        <w:spacing w:line="276" w:lineRule="auto"/>
        <w:jc w:val="left"/>
      </w:pPr>
    </w:p>
    <w:p w14:paraId="3B5688FC" w14:textId="77777777" w:rsidR="00501945" w:rsidRDefault="00501945" w:rsidP="00501945">
      <w:pPr>
        <w:pStyle w:val="BodyText"/>
        <w:spacing w:line="276" w:lineRule="auto"/>
      </w:pPr>
      <w:r>
        <w:t>Any other term not defined herein shall have the same meaning as defined in the Act, LODR, Securities Contracts (Regulation) Act, 1956 or any other applicable law or regulation.</w:t>
      </w:r>
    </w:p>
    <w:p w14:paraId="01D210A1" w14:textId="77777777" w:rsidR="00B62B8E" w:rsidRDefault="00B62B8E">
      <w:pPr>
        <w:pStyle w:val="BodyText"/>
        <w:ind w:left="0"/>
        <w:jc w:val="left"/>
        <w:rPr>
          <w:sz w:val="25"/>
        </w:rPr>
      </w:pPr>
    </w:p>
    <w:p w14:paraId="72D4A53C" w14:textId="77777777" w:rsidR="00B62B8E" w:rsidRDefault="001D7A7C">
      <w:pPr>
        <w:pStyle w:val="Heading1"/>
        <w:numPr>
          <w:ilvl w:val="0"/>
          <w:numId w:val="3"/>
        </w:numPr>
        <w:tabs>
          <w:tab w:val="left" w:pos="377"/>
        </w:tabs>
        <w:spacing w:before="0"/>
        <w:ind w:left="376" w:hanging="277"/>
      </w:pPr>
      <w:r>
        <w:t>MATERIALITY</w:t>
      </w:r>
      <w:r>
        <w:rPr>
          <w:spacing w:val="-3"/>
        </w:rPr>
        <w:t xml:space="preserve"> </w:t>
      </w:r>
      <w:r>
        <w:t>THRESHOLDS</w:t>
      </w:r>
    </w:p>
    <w:p w14:paraId="62D3EA34" w14:textId="77777777" w:rsidR="00F95824" w:rsidRDefault="00F95824" w:rsidP="00F95824">
      <w:pPr>
        <w:pStyle w:val="BodyText"/>
        <w:spacing w:before="40" w:line="276" w:lineRule="auto"/>
        <w:ind w:right="118"/>
      </w:pPr>
    </w:p>
    <w:p w14:paraId="76CCC3F3" w14:textId="77777777" w:rsidR="00F95824" w:rsidRDefault="00F95824" w:rsidP="00F95824">
      <w:pPr>
        <w:pStyle w:val="BodyText"/>
        <w:spacing w:before="40" w:line="276" w:lineRule="auto"/>
        <w:ind w:right="118"/>
      </w:pPr>
      <w:r w:rsidRPr="00880198">
        <w:t xml:space="preserve">The Listing </w:t>
      </w:r>
      <w:r>
        <w:t>Regula</w:t>
      </w:r>
      <w:r w:rsidRPr="00880198">
        <w:t>tions requires a company to provide materiality thresholds for transactions</w:t>
      </w:r>
      <w:r w:rsidRPr="00880198">
        <w:rPr>
          <w:spacing w:val="1"/>
        </w:rPr>
        <w:t xml:space="preserve"> </w:t>
      </w:r>
      <w:r w:rsidRPr="00880198">
        <w:t>beyond which the shareholders’ approval will be required by way of a special resolution. The</w:t>
      </w:r>
      <w:r w:rsidRPr="00880198">
        <w:rPr>
          <w:spacing w:val="-64"/>
        </w:rPr>
        <w:t xml:space="preserve"> </w:t>
      </w:r>
      <w:r w:rsidRPr="00880198">
        <w:t>Company</w:t>
      </w:r>
      <w:r w:rsidRPr="00880198">
        <w:rPr>
          <w:spacing w:val="-4"/>
        </w:rPr>
        <w:t xml:space="preserve"> </w:t>
      </w:r>
      <w:r w:rsidRPr="00880198">
        <w:t>has</w:t>
      </w:r>
      <w:r w:rsidRPr="00880198">
        <w:rPr>
          <w:spacing w:val="-3"/>
        </w:rPr>
        <w:t xml:space="preserve"> </w:t>
      </w:r>
      <w:r w:rsidRPr="00880198">
        <w:t>fixed</w:t>
      </w:r>
      <w:r w:rsidRPr="00880198">
        <w:rPr>
          <w:spacing w:val="-3"/>
        </w:rPr>
        <w:t xml:space="preserve"> </w:t>
      </w:r>
      <w:r w:rsidRPr="00880198">
        <w:t>its</w:t>
      </w:r>
      <w:r w:rsidRPr="00880198">
        <w:rPr>
          <w:spacing w:val="-3"/>
        </w:rPr>
        <w:t xml:space="preserve"> </w:t>
      </w:r>
      <w:r w:rsidRPr="00880198">
        <w:t>materiality</w:t>
      </w:r>
      <w:r w:rsidRPr="00880198">
        <w:rPr>
          <w:spacing w:val="-4"/>
        </w:rPr>
        <w:t xml:space="preserve"> </w:t>
      </w:r>
      <w:r w:rsidRPr="00880198">
        <w:t>threshold</w:t>
      </w:r>
      <w:r w:rsidRPr="00880198">
        <w:rPr>
          <w:spacing w:val="-3"/>
        </w:rPr>
        <w:t xml:space="preserve"> </w:t>
      </w:r>
      <w:r w:rsidRPr="00880198">
        <w:t>at</w:t>
      </w:r>
      <w:r w:rsidRPr="00880198">
        <w:rPr>
          <w:spacing w:val="-4"/>
        </w:rPr>
        <w:t xml:space="preserve"> </w:t>
      </w:r>
      <w:r w:rsidRPr="00880198">
        <w:t>10%</w:t>
      </w:r>
      <w:r w:rsidRPr="00880198">
        <w:rPr>
          <w:spacing w:val="-2"/>
        </w:rPr>
        <w:t xml:space="preserve"> </w:t>
      </w:r>
      <w:r w:rsidRPr="00880198">
        <w:t>of</w:t>
      </w:r>
      <w:r w:rsidRPr="00880198">
        <w:rPr>
          <w:spacing w:val="-3"/>
        </w:rPr>
        <w:t xml:space="preserve"> </w:t>
      </w:r>
      <w:r w:rsidRPr="00880198">
        <w:t>the</w:t>
      </w:r>
      <w:r w:rsidRPr="00880198">
        <w:rPr>
          <w:spacing w:val="-3"/>
        </w:rPr>
        <w:t xml:space="preserve"> </w:t>
      </w:r>
      <w:r w:rsidRPr="00880198">
        <w:t>annual</w:t>
      </w:r>
      <w:r w:rsidRPr="00880198">
        <w:rPr>
          <w:spacing w:val="-2"/>
        </w:rPr>
        <w:t xml:space="preserve"> </w:t>
      </w:r>
      <w:r w:rsidRPr="00880198">
        <w:t>consolidated</w:t>
      </w:r>
      <w:r w:rsidRPr="00880198">
        <w:rPr>
          <w:spacing w:val="-4"/>
        </w:rPr>
        <w:t xml:space="preserve"> </w:t>
      </w:r>
      <w:r w:rsidRPr="00880198">
        <w:t>turnover</w:t>
      </w:r>
      <w:r w:rsidRPr="00880198">
        <w:rPr>
          <w:spacing w:val="-3"/>
        </w:rPr>
        <w:t xml:space="preserve"> </w:t>
      </w:r>
      <w:r w:rsidRPr="00880198">
        <w:t>of</w:t>
      </w:r>
      <w:r w:rsidRPr="00880198">
        <w:rPr>
          <w:spacing w:val="-2"/>
        </w:rPr>
        <w:t xml:space="preserve"> </w:t>
      </w:r>
      <w:r w:rsidRPr="00880198">
        <w:t>the</w:t>
      </w:r>
      <w:r w:rsidRPr="00880198">
        <w:rPr>
          <w:spacing w:val="-64"/>
        </w:rPr>
        <w:t xml:space="preserve"> </w:t>
      </w:r>
      <w:r w:rsidRPr="00880198">
        <w:t>Company as per last audited financial statements of the company for the purpose of the</w:t>
      </w:r>
      <w:r w:rsidRPr="00880198">
        <w:rPr>
          <w:spacing w:val="1"/>
        </w:rPr>
        <w:t xml:space="preserve"> </w:t>
      </w:r>
      <w:r w:rsidRPr="00880198">
        <w:t>Listing</w:t>
      </w:r>
      <w:r w:rsidRPr="00880198">
        <w:rPr>
          <w:spacing w:val="-1"/>
        </w:rPr>
        <w:t xml:space="preserve"> </w:t>
      </w:r>
      <w:r>
        <w:t>Regulations</w:t>
      </w:r>
      <w:r w:rsidRPr="00880198">
        <w:t>.</w:t>
      </w:r>
    </w:p>
    <w:p w14:paraId="2886332C" w14:textId="77777777" w:rsidR="00501945" w:rsidRDefault="00501945" w:rsidP="00F95824">
      <w:pPr>
        <w:pStyle w:val="Heading1"/>
        <w:numPr>
          <w:ilvl w:val="0"/>
          <w:numId w:val="3"/>
        </w:numPr>
        <w:spacing w:before="15" w:line="506" w:lineRule="exact"/>
        <w:ind w:right="3094"/>
      </w:pPr>
      <w:r>
        <w:t>POLICY ON</w:t>
      </w:r>
      <w:r w:rsidR="001D7A7C">
        <w:t xml:space="preserve"> RELATED PARTY TRANSACTIONS</w:t>
      </w:r>
    </w:p>
    <w:p w14:paraId="3F65D60F" w14:textId="77777777" w:rsidR="00501945" w:rsidRDefault="00501945" w:rsidP="00501945">
      <w:pPr>
        <w:pStyle w:val="BodyText"/>
        <w:spacing w:line="276" w:lineRule="auto"/>
      </w:pPr>
    </w:p>
    <w:p w14:paraId="40D1C455" w14:textId="77777777" w:rsidR="00501945" w:rsidRPr="00501945" w:rsidRDefault="00501945" w:rsidP="00501945">
      <w:pPr>
        <w:pStyle w:val="BodyText"/>
        <w:spacing w:line="276" w:lineRule="auto"/>
      </w:pPr>
      <w:r w:rsidRPr="00501945">
        <w:t>The policy describes the procedure to be followed along with the reporting and disclosure requirements for the transactions entered between the Company and its Related Parties. Such transactions shall be deemed appropriate only if they are in the best interest of the Company and its shareholders. In order to ensure the same and to set forth the procedure for entering into and execution of transactions with Related Party, the board of directors of the Company has adopted this Policy.</w:t>
      </w:r>
    </w:p>
    <w:p w14:paraId="4A65C446" w14:textId="77777777" w:rsidR="00501945" w:rsidRDefault="00501945" w:rsidP="00501945">
      <w:pPr>
        <w:pStyle w:val="Heading1"/>
        <w:numPr>
          <w:ilvl w:val="0"/>
          <w:numId w:val="6"/>
        </w:numPr>
        <w:spacing w:before="0" w:line="506" w:lineRule="exact"/>
        <w:ind w:right="-59"/>
      </w:pPr>
      <w:r>
        <w:t>Procedure for identification of potential related parties</w:t>
      </w:r>
    </w:p>
    <w:p w14:paraId="3D2791A3" w14:textId="77777777" w:rsidR="00D343DA" w:rsidRDefault="00D343DA" w:rsidP="00D343DA">
      <w:pPr>
        <w:pStyle w:val="Heading1"/>
        <w:spacing w:before="0"/>
        <w:ind w:left="820" w:right="-59"/>
        <w:rPr>
          <w:b w:val="0"/>
          <w:bCs w:val="0"/>
        </w:rPr>
      </w:pPr>
    </w:p>
    <w:p w14:paraId="320AFCBF" w14:textId="77777777" w:rsidR="00D343DA" w:rsidRDefault="00D343DA" w:rsidP="00D343DA">
      <w:pPr>
        <w:pStyle w:val="Heading1"/>
        <w:numPr>
          <w:ilvl w:val="0"/>
          <w:numId w:val="5"/>
        </w:numPr>
        <w:spacing w:before="0"/>
        <w:ind w:right="-59"/>
        <w:rPr>
          <w:b w:val="0"/>
          <w:bCs w:val="0"/>
        </w:rPr>
      </w:pPr>
      <w:r w:rsidRPr="00D343DA">
        <w:rPr>
          <w:b w:val="0"/>
          <w:bCs w:val="0"/>
        </w:rPr>
        <w:t xml:space="preserve">Once a year, declarations will be obtained by the Company Secretary or Compliance Officer as the case may be from the Directors and KMP and other related parties within the meaning of Section 2(76), 184 and 189 of the Act and LODR in the prescribed format. </w:t>
      </w:r>
    </w:p>
    <w:p w14:paraId="6A8EFFC1" w14:textId="77777777" w:rsidR="00D343DA" w:rsidRDefault="00D343DA" w:rsidP="00D343DA">
      <w:pPr>
        <w:pStyle w:val="Heading1"/>
        <w:spacing w:before="0"/>
        <w:ind w:left="460" w:right="-59"/>
        <w:rPr>
          <w:b w:val="0"/>
          <w:bCs w:val="0"/>
        </w:rPr>
      </w:pPr>
    </w:p>
    <w:p w14:paraId="0AF67D30" w14:textId="77777777" w:rsidR="00D343DA" w:rsidRDefault="00D343DA" w:rsidP="00D343DA">
      <w:pPr>
        <w:pStyle w:val="Heading1"/>
        <w:numPr>
          <w:ilvl w:val="0"/>
          <w:numId w:val="5"/>
        </w:numPr>
        <w:spacing w:before="0"/>
        <w:ind w:right="-59"/>
        <w:rPr>
          <w:b w:val="0"/>
          <w:bCs w:val="0"/>
        </w:rPr>
      </w:pPr>
      <w:r w:rsidRPr="00D343DA">
        <w:rPr>
          <w:b w:val="0"/>
          <w:bCs w:val="0"/>
        </w:rPr>
        <w:t xml:space="preserve">The declarations will also be required to be updated by the Directors and KMP regularly immediately upon a change taking place.  </w:t>
      </w:r>
    </w:p>
    <w:p w14:paraId="2D2D4765" w14:textId="77777777" w:rsidR="00D343DA" w:rsidRDefault="00D343DA" w:rsidP="00D343DA">
      <w:pPr>
        <w:pStyle w:val="Heading1"/>
        <w:spacing w:before="0"/>
        <w:ind w:left="460" w:right="-59"/>
        <w:rPr>
          <w:b w:val="0"/>
          <w:bCs w:val="0"/>
        </w:rPr>
      </w:pPr>
    </w:p>
    <w:p w14:paraId="3D18C6EE" w14:textId="77777777" w:rsidR="00D343DA" w:rsidRDefault="00D343DA" w:rsidP="00D343DA">
      <w:pPr>
        <w:pStyle w:val="Heading1"/>
        <w:numPr>
          <w:ilvl w:val="0"/>
          <w:numId w:val="5"/>
        </w:numPr>
        <w:spacing w:before="0"/>
        <w:ind w:right="-59"/>
        <w:rPr>
          <w:b w:val="0"/>
          <w:bCs w:val="0"/>
        </w:rPr>
      </w:pPr>
      <w:r w:rsidRPr="00D343DA">
        <w:rPr>
          <w:b w:val="0"/>
          <w:bCs w:val="0"/>
        </w:rPr>
        <w:t xml:space="preserve">Any individual appointed/elected as a director or KMP shall be responsible to promptly complete and submit to the Company Secretary or Compliance Officer as the case may be, the disclosure declaration referred to above.  </w:t>
      </w:r>
    </w:p>
    <w:p w14:paraId="7A947F1C" w14:textId="77777777" w:rsidR="00D343DA" w:rsidRDefault="00D343DA" w:rsidP="00D343DA">
      <w:pPr>
        <w:pStyle w:val="Heading1"/>
        <w:spacing w:before="0"/>
        <w:ind w:left="460" w:right="-59"/>
        <w:rPr>
          <w:b w:val="0"/>
          <w:bCs w:val="0"/>
        </w:rPr>
      </w:pPr>
    </w:p>
    <w:p w14:paraId="2DDD4F88" w14:textId="77777777" w:rsidR="00D343DA" w:rsidRPr="00D343DA" w:rsidRDefault="00D343DA" w:rsidP="00D343DA">
      <w:pPr>
        <w:pStyle w:val="Heading1"/>
        <w:numPr>
          <w:ilvl w:val="0"/>
          <w:numId w:val="5"/>
        </w:numPr>
        <w:spacing w:before="0"/>
        <w:ind w:right="-59"/>
        <w:rPr>
          <w:b w:val="0"/>
          <w:bCs w:val="0"/>
        </w:rPr>
      </w:pPr>
      <w:r w:rsidRPr="00D343DA">
        <w:rPr>
          <w:b w:val="0"/>
          <w:bCs w:val="0"/>
        </w:rPr>
        <w:t>The Company Secretary or Compliance Officer as the case may be shall, in every meeting, place before the Audit Committee an up-to date list of the related parties of the Company.</w:t>
      </w:r>
    </w:p>
    <w:p w14:paraId="1E40DFB6" w14:textId="77777777" w:rsidR="00D343DA" w:rsidRDefault="00D343DA" w:rsidP="00501945">
      <w:pPr>
        <w:pStyle w:val="Heading1"/>
        <w:numPr>
          <w:ilvl w:val="0"/>
          <w:numId w:val="6"/>
        </w:numPr>
        <w:spacing w:before="0" w:line="506" w:lineRule="exact"/>
        <w:ind w:right="-59"/>
      </w:pPr>
      <w:r>
        <w:t>Identification of potential related party transactions</w:t>
      </w:r>
    </w:p>
    <w:p w14:paraId="39D311A6" w14:textId="77777777" w:rsidR="00B43E32" w:rsidRDefault="00B43E32" w:rsidP="00B43E32">
      <w:pPr>
        <w:pStyle w:val="Heading1"/>
        <w:spacing w:before="0"/>
        <w:ind w:left="460" w:right="-59"/>
        <w:rPr>
          <w:b w:val="0"/>
          <w:bCs w:val="0"/>
        </w:rPr>
      </w:pPr>
    </w:p>
    <w:p w14:paraId="7158E08C" w14:textId="77777777" w:rsidR="00B43E32" w:rsidRDefault="00B43E32" w:rsidP="00B43E32">
      <w:pPr>
        <w:pStyle w:val="Heading1"/>
        <w:spacing w:before="0"/>
        <w:ind w:left="460" w:right="-59"/>
        <w:rPr>
          <w:b w:val="0"/>
          <w:bCs w:val="0"/>
        </w:rPr>
      </w:pPr>
      <w:r w:rsidRPr="00B43E32">
        <w:rPr>
          <w:b w:val="0"/>
          <w:bCs w:val="0"/>
        </w:rPr>
        <w:t xml:space="preserve">Each director and Key Managerial Personnel is responsible for providing Notice to the Board or Audit Committee of any potential RPT involving him/her or his/her relative, including any additional information about the transaction that the Board or Audit Committee may request. The Board shall record the disclosure of Interest and the Audit Committee will determine whether the transaction does, in fact, constitute a RPT requiring compliance with this Policy. </w:t>
      </w:r>
    </w:p>
    <w:p w14:paraId="79AB537E" w14:textId="77777777" w:rsidR="00B43E32" w:rsidRDefault="00B43E32" w:rsidP="00B43E32">
      <w:pPr>
        <w:pStyle w:val="Heading1"/>
        <w:spacing w:before="0"/>
        <w:ind w:left="460" w:right="-59"/>
        <w:rPr>
          <w:b w:val="0"/>
          <w:bCs w:val="0"/>
        </w:rPr>
      </w:pPr>
    </w:p>
    <w:p w14:paraId="3CAEF3B2" w14:textId="77777777" w:rsidR="00B43E32" w:rsidRPr="00B43E32" w:rsidRDefault="00B43E32" w:rsidP="00B43E32">
      <w:pPr>
        <w:pStyle w:val="Heading1"/>
        <w:spacing w:before="0"/>
        <w:ind w:left="460" w:right="-59"/>
        <w:rPr>
          <w:b w:val="0"/>
          <w:bCs w:val="0"/>
        </w:rPr>
      </w:pPr>
      <w:r w:rsidRPr="00B43E32">
        <w:rPr>
          <w:b w:val="0"/>
          <w:bCs w:val="0"/>
        </w:rPr>
        <w:t>The Company strongly prefers to receive such notice of any potential transactions with Related Party well in advance so that the Audit Committee has adequate time to obtain and review information about the proposed transaction</w:t>
      </w:r>
    </w:p>
    <w:p w14:paraId="1EC7D54C" w14:textId="77777777" w:rsidR="00D343DA" w:rsidRDefault="00B43E32" w:rsidP="00501945">
      <w:pPr>
        <w:pStyle w:val="Heading1"/>
        <w:numPr>
          <w:ilvl w:val="0"/>
          <w:numId w:val="6"/>
        </w:numPr>
        <w:spacing w:before="0" w:line="506" w:lineRule="exact"/>
        <w:ind w:right="-59"/>
      </w:pPr>
      <w:r>
        <w:t>Approval of Related Party Transactions</w:t>
      </w:r>
    </w:p>
    <w:p w14:paraId="734E9215" w14:textId="77777777" w:rsidR="00B43E32" w:rsidRDefault="00B43E32" w:rsidP="00A22A0F">
      <w:pPr>
        <w:pStyle w:val="Heading1"/>
        <w:numPr>
          <w:ilvl w:val="0"/>
          <w:numId w:val="7"/>
        </w:numPr>
        <w:spacing w:before="0" w:line="506" w:lineRule="exact"/>
        <w:ind w:left="426" w:right="-59" w:hanging="284"/>
      </w:pPr>
      <w:r>
        <w:t>Prior approval of Audit Committee</w:t>
      </w:r>
    </w:p>
    <w:p w14:paraId="284728CA" w14:textId="77777777" w:rsidR="00A22A0F" w:rsidRDefault="00A22A0F" w:rsidP="00A22A0F">
      <w:pPr>
        <w:pStyle w:val="Heading1"/>
        <w:spacing w:before="0"/>
        <w:ind w:left="426" w:right="-59"/>
        <w:rPr>
          <w:b w:val="0"/>
          <w:bCs w:val="0"/>
        </w:rPr>
      </w:pPr>
      <w:r w:rsidRPr="00A22A0F">
        <w:rPr>
          <w:b w:val="0"/>
          <w:bCs w:val="0"/>
        </w:rPr>
        <w:t xml:space="preserve">All Transactions with Related Party of the Company as prescribed under the Act and LODR shall require prior approval of Audit Committee, whether at a meeting or by Resolution by circulation. </w:t>
      </w:r>
    </w:p>
    <w:p w14:paraId="4CF49C48" w14:textId="77777777" w:rsidR="00A22A0F" w:rsidRDefault="00A22A0F" w:rsidP="00A22A0F">
      <w:pPr>
        <w:pStyle w:val="Heading1"/>
        <w:spacing w:before="0"/>
        <w:ind w:left="426" w:right="-59" w:hanging="284"/>
        <w:rPr>
          <w:b w:val="0"/>
          <w:bCs w:val="0"/>
        </w:rPr>
      </w:pPr>
    </w:p>
    <w:p w14:paraId="5F1C5A42" w14:textId="77777777" w:rsidR="00B43E32" w:rsidRDefault="00A22A0F" w:rsidP="00A22A0F">
      <w:pPr>
        <w:pStyle w:val="Heading1"/>
        <w:spacing w:before="0"/>
        <w:ind w:left="426" w:right="-59"/>
        <w:rPr>
          <w:b w:val="0"/>
          <w:bCs w:val="0"/>
        </w:rPr>
      </w:pPr>
      <w:r w:rsidRPr="00A22A0F">
        <w:rPr>
          <w:b w:val="0"/>
          <w:bCs w:val="0"/>
        </w:rPr>
        <w:t>However, the Audit Committee may grant omnibus approval for such Transactions proposed to be entered into by the Company subject to the following conditions:-</w:t>
      </w:r>
    </w:p>
    <w:p w14:paraId="5DBF8997" w14:textId="77777777" w:rsidR="00A22A0F" w:rsidRDefault="00A22A0F" w:rsidP="00A22A0F">
      <w:pPr>
        <w:pStyle w:val="Heading1"/>
        <w:spacing w:before="0"/>
        <w:ind w:left="993" w:right="-59"/>
        <w:rPr>
          <w:b w:val="0"/>
          <w:bCs w:val="0"/>
        </w:rPr>
      </w:pPr>
    </w:p>
    <w:p w14:paraId="180E4A1D" w14:textId="77777777" w:rsidR="00A22A0F" w:rsidRDefault="00A22A0F" w:rsidP="00A22A0F">
      <w:pPr>
        <w:pStyle w:val="Heading1"/>
        <w:numPr>
          <w:ilvl w:val="0"/>
          <w:numId w:val="8"/>
        </w:numPr>
        <w:spacing w:before="0"/>
        <w:ind w:left="851" w:right="-59" w:hanging="425"/>
        <w:rPr>
          <w:b w:val="0"/>
          <w:bCs w:val="0"/>
        </w:rPr>
      </w:pPr>
      <w:r w:rsidRPr="00A22A0F">
        <w:rPr>
          <w:b w:val="0"/>
          <w:bCs w:val="0"/>
        </w:rPr>
        <w:t>The Audit Committee shall lay down the criteria for granting the omnibus approval in line with the policy on RPTs of the company and such approval shall be applicable in respect of transactions which are repetitive in nature.</w:t>
      </w:r>
    </w:p>
    <w:p w14:paraId="773DEF5B" w14:textId="77777777" w:rsidR="00653F13" w:rsidRDefault="00653F13" w:rsidP="00653F13">
      <w:pPr>
        <w:pStyle w:val="Heading1"/>
        <w:spacing w:before="0"/>
        <w:ind w:left="851" w:right="-59"/>
        <w:rPr>
          <w:b w:val="0"/>
          <w:bCs w:val="0"/>
        </w:rPr>
      </w:pPr>
    </w:p>
    <w:p w14:paraId="1E147870" w14:textId="77777777" w:rsidR="00A22A0F" w:rsidRDefault="00A22A0F" w:rsidP="00A22A0F">
      <w:pPr>
        <w:pStyle w:val="Heading1"/>
        <w:numPr>
          <w:ilvl w:val="0"/>
          <w:numId w:val="8"/>
        </w:numPr>
        <w:spacing w:before="0"/>
        <w:ind w:left="851" w:right="-59" w:hanging="425"/>
        <w:rPr>
          <w:b w:val="0"/>
          <w:bCs w:val="0"/>
        </w:rPr>
      </w:pPr>
      <w:r w:rsidRPr="00A22A0F">
        <w:rPr>
          <w:b w:val="0"/>
          <w:bCs w:val="0"/>
        </w:rPr>
        <w:t>The Audit Committee shall satisfy itself the need for such omnibus approval and that such approval is in the interest of the company;</w:t>
      </w:r>
    </w:p>
    <w:p w14:paraId="125D1644" w14:textId="77777777" w:rsidR="00653F13" w:rsidRDefault="00653F13" w:rsidP="00653F13">
      <w:pPr>
        <w:pStyle w:val="ListParagraph"/>
        <w:rPr>
          <w:b/>
          <w:bCs/>
        </w:rPr>
      </w:pPr>
    </w:p>
    <w:p w14:paraId="182BDD50" w14:textId="77777777" w:rsidR="00A22A0F" w:rsidRDefault="00A22A0F" w:rsidP="00A22A0F">
      <w:pPr>
        <w:pStyle w:val="Heading1"/>
        <w:numPr>
          <w:ilvl w:val="0"/>
          <w:numId w:val="8"/>
        </w:numPr>
        <w:spacing w:before="0"/>
        <w:ind w:left="851" w:right="-59" w:hanging="425"/>
        <w:rPr>
          <w:b w:val="0"/>
          <w:bCs w:val="0"/>
        </w:rPr>
      </w:pPr>
      <w:r w:rsidRPr="00A22A0F">
        <w:rPr>
          <w:b w:val="0"/>
          <w:bCs w:val="0"/>
        </w:rPr>
        <w:t>Such omnibus approval shall specify the following:</w:t>
      </w:r>
    </w:p>
    <w:p w14:paraId="65D5F8C9" w14:textId="77777777" w:rsidR="00653F13" w:rsidRDefault="00653F13" w:rsidP="00653F13">
      <w:pPr>
        <w:pStyle w:val="ListParagraph"/>
        <w:rPr>
          <w:b/>
          <w:bCs/>
        </w:rPr>
      </w:pPr>
    </w:p>
    <w:p w14:paraId="5CB63619" w14:textId="77777777" w:rsidR="00A22A0F" w:rsidRDefault="00A22A0F" w:rsidP="00A22A0F">
      <w:pPr>
        <w:pStyle w:val="Heading1"/>
        <w:numPr>
          <w:ilvl w:val="0"/>
          <w:numId w:val="9"/>
        </w:numPr>
        <w:spacing w:before="0"/>
        <w:ind w:left="1276" w:right="-59" w:hanging="425"/>
        <w:rPr>
          <w:b w:val="0"/>
          <w:bCs w:val="0"/>
        </w:rPr>
      </w:pPr>
      <w:r w:rsidRPr="00A22A0F">
        <w:rPr>
          <w:b w:val="0"/>
          <w:bCs w:val="0"/>
        </w:rPr>
        <w:t>the name/s of the related party, nature of transaction, period of transaction, maximum amount of transaction that can be entered into;</w:t>
      </w:r>
    </w:p>
    <w:p w14:paraId="55463951" w14:textId="77777777" w:rsidR="00A22A0F" w:rsidRDefault="00A22A0F" w:rsidP="00A22A0F">
      <w:pPr>
        <w:pStyle w:val="Heading1"/>
        <w:numPr>
          <w:ilvl w:val="0"/>
          <w:numId w:val="9"/>
        </w:numPr>
        <w:spacing w:before="0"/>
        <w:ind w:left="1276" w:right="-59" w:hanging="425"/>
        <w:rPr>
          <w:b w:val="0"/>
          <w:bCs w:val="0"/>
        </w:rPr>
      </w:pPr>
      <w:r w:rsidRPr="00A22A0F">
        <w:rPr>
          <w:b w:val="0"/>
          <w:bCs w:val="0"/>
        </w:rPr>
        <w:t>the indicative base price / current contracted price and the formula for variation in the price if any and;</w:t>
      </w:r>
    </w:p>
    <w:p w14:paraId="0211C946" w14:textId="77777777" w:rsidR="00A22A0F" w:rsidRDefault="00A22A0F" w:rsidP="00A22A0F">
      <w:pPr>
        <w:pStyle w:val="Heading1"/>
        <w:numPr>
          <w:ilvl w:val="0"/>
          <w:numId w:val="9"/>
        </w:numPr>
        <w:spacing w:before="0"/>
        <w:ind w:left="1276" w:right="-59" w:hanging="425"/>
        <w:rPr>
          <w:b w:val="0"/>
          <w:bCs w:val="0"/>
        </w:rPr>
      </w:pPr>
      <w:r w:rsidRPr="00A22A0F">
        <w:rPr>
          <w:b w:val="0"/>
          <w:bCs w:val="0"/>
        </w:rPr>
        <w:t>such other conditions as the Audit Committee may deem fit;</w:t>
      </w:r>
    </w:p>
    <w:p w14:paraId="7F6324AB" w14:textId="77777777" w:rsidR="00A22A0F" w:rsidRDefault="00A22A0F" w:rsidP="00A22A0F">
      <w:pPr>
        <w:pStyle w:val="Heading1"/>
        <w:spacing w:before="0"/>
        <w:ind w:left="1276" w:right="-59"/>
        <w:rPr>
          <w:b w:val="0"/>
          <w:bCs w:val="0"/>
        </w:rPr>
      </w:pPr>
    </w:p>
    <w:p w14:paraId="1982B4B4" w14:textId="77777777" w:rsidR="00A22A0F" w:rsidRPr="00A22A0F" w:rsidRDefault="00A22A0F" w:rsidP="00A22A0F">
      <w:pPr>
        <w:pStyle w:val="Heading1"/>
        <w:spacing w:before="0"/>
        <w:ind w:left="1276" w:right="-59"/>
        <w:rPr>
          <w:b w:val="0"/>
          <w:bCs w:val="0"/>
        </w:rPr>
      </w:pPr>
      <w:r w:rsidRPr="00A22A0F">
        <w:rPr>
          <w:b w:val="0"/>
          <w:bCs w:val="0"/>
        </w:rPr>
        <w:t xml:space="preserve">Provided that where the need for RPT cannot be foreseen and aforesaid details are not available, Audit Committee may grant omnibus approval for such transactions subject to their value not exceeding Rupees </w:t>
      </w:r>
      <w:r w:rsidRPr="00653F13">
        <w:rPr>
          <w:b w:val="0"/>
          <w:bCs w:val="0"/>
        </w:rPr>
        <w:t>One crore</w:t>
      </w:r>
      <w:r w:rsidRPr="00A22A0F">
        <w:rPr>
          <w:b w:val="0"/>
          <w:bCs w:val="0"/>
        </w:rPr>
        <w:t xml:space="preserve"> per transaction.</w:t>
      </w:r>
    </w:p>
    <w:p w14:paraId="465B1C41" w14:textId="77777777" w:rsidR="00A22A0F" w:rsidRDefault="00A22A0F" w:rsidP="00A22A0F">
      <w:pPr>
        <w:pStyle w:val="Heading1"/>
        <w:spacing w:before="0"/>
        <w:ind w:left="851" w:right="-59"/>
        <w:rPr>
          <w:b w:val="0"/>
          <w:bCs w:val="0"/>
        </w:rPr>
      </w:pPr>
    </w:p>
    <w:p w14:paraId="3057D2AA" w14:textId="77777777" w:rsidR="00A22A0F" w:rsidRDefault="00A22A0F" w:rsidP="00A22A0F">
      <w:pPr>
        <w:pStyle w:val="Heading1"/>
        <w:numPr>
          <w:ilvl w:val="0"/>
          <w:numId w:val="8"/>
        </w:numPr>
        <w:spacing w:before="0"/>
        <w:ind w:left="851" w:right="-59" w:hanging="425"/>
        <w:rPr>
          <w:b w:val="0"/>
          <w:bCs w:val="0"/>
        </w:rPr>
      </w:pPr>
      <w:r w:rsidRPr="00A22A0F">
        <w:rPr>
          <w:b w:val="0"/>
          <w:bCs w:val="0"/>
        </w:rPr>
        <w:t>In case where RPT as defined under that Act are not in ordinary course of business or not on arm’s length basis or both, such RPT will also require prior approval of Board of Directors of the Company.</w:t>
      </w:r>
    </w:p>
    <w:p w14:paraId="3439908F" w14:textId="77777777" w:rsidR="00A22A0F" w:rsidRDefault="00A22A0F" w:rsidP="00A22A0F">
      <w:pPr>
        <w:pStyle w:val="ListParagraph"/>
        <w:rPr>
          <w:b/>
          <w:bCs/>
        </w:rPr>
      </w:pPr>
    </w:p>
    <w:p w14:paraId="1F6B9EC2" w14:textId="77777777" w:rsidR="00A22A0F" w:rsidRDefault="00A22A0F" w:rsidP="00A22A0F">
      <w:pPr>
        <w:pStyle w:val="Heading1"/>
        <w:numPr>
          <w:ilvl w:val="0"/>
          <w:numId w:val="8"/>
        </w:numPr>
        <w:spacing w:before="0"/>
        <w:ind w:left="851" w:right="-59" w:hanging="425"/>
        <w:rPr>
          <w:b w:val="0"/>
          <w:bCs w:val="0"/>
        </w:rPr>
      </w:pPr>
      <w:r w:rsidRPr="00A22A0F">
        <w:rPr>
          <w:b w:val="0"/>
          <w:bCs w:val="0"/>
        </w:rPr>
        <w:t>Audit Committee shall review, at least on a quarterly basis, the details of RPTs entered into by the company pursuant to each of the omnibus approval given.</w:t>
      </w:r>
    </w:p>
    <w:p w14:paraId="7EB64606" w14:textId="77777777" w:rsidR="00A22A0F" w:rsidRDefault="00A22A0F" w:rsidP="00A22A0F">
      <w:pPr>
        <w:pStyle w:val="ListParagraph"/>
        <w:rPr>
          <w:b/>
          <w:bCs/>
        </w:rPr>
      </w:pPr>
    </w:p>
    <w:p w14:paraId="31A9544F" w14:textId="77777777" w:rsidR="00A22A0F" w:rsidRDefault="00A22A0F" w:rsidP="00A22A0F">
      <w:pPr>
        <w:pStyle w:val="Heading1"/>
        <w:spacing w:before="0"/>
        <w:ind w:left="851" w:right="-59"/>
        <w:rPr>
          <w:b w:val="0"/>
          <w:bCs w:val="0"/>
        </w:rPr>
      </w:pPr>
      <w:r w:rsidRPr="00A22A0F">
        <w:rPr>
          <w:b w:val="0"/>
          <w:bCs w:val="0"/>
        </w:rPr>
        <w:t>Such omnibus approvals shall be valid for a period not exceeding one year and shall require fresh approvals after the expiry of one year.</w:t>
      </w:r>
    </w:p>
    <w:p w14:paraId="4814258D" w14:textId="77777777" w:rsidR="00A22A0F" w:rsidRDefault="00A22A0F" w:rsidP="00A22A0F">
      <w:pPr>
        <w:pStyle w:val="Heading1"/>
        <w:spacing w:before="0"/>
        <w:ind w:left="851" w:right="-59"/>
        <w:rPr>
          <w:b w:val="0"/>
          <w:bCs w:val="0"/>
        </w:rPr>
      </w:pPr>
    </w:p>
    <w:p w14:paraId="47F17DAB" w14:textId="77777777" w:rsidR="00A22A0F" w:rsidRPr="00A22A0F" w:rsidRDefault="00A22A0F" w:rsidP="00A22A0F">
      <w:pPr>
        <w:pStyle w:val="Heading1"/>
        <w:spacing w:before="0"/>
        <w:ind w:left="851" w:right="-59"/>
        <w:rPr>
          <w:b w:val="0"/>
          <w:bCs w:val="0"/>
        </w:rPr>
      </w:pPr>
      <w:r w:rsidRPr="00A22A0F">
        <w:rPr>
          <w:b w:val="0"/>
          <w:bCs w:val="0"/>
        </w:rPr>
        <w:t>Any member of the Audit Committee who has a potential interest in any RPT will abstain from discussion and voting on the approval of the RPT.</w:t>
      </w:r>
    </w:p>
    <w:p w14:paraId="166EF518" w14:textId="77777777" w:rsidR="00B43E32" w:rsidRDefault="00A22A0F" w:rsidP="00A22A0F">
      <w:pPr>
        <w:pStyle w:val="Heading1"/>
        <w:numPr>
          <w:ilvl w:val="0"/>
          <w:numId w:val="7"/>
        </w:numPr>
        <w:spacing w:before="0" w:line="506" w:lineRule="exact"/>
        <w:ind w:left="426" w:right="-59" w:hanging="426"/>
      </w:pPr>
      <w:r>
        <w:t>Prior approval of Board of Directors under the Act</w:t>
      </w:r>
    </w:p>
    <w:p w14:paraId="39BD69BE" w14:textId="77777777" w:rsidR="001D7A7C" w:rsidRDefault="001D7A7C" w:rsidP="001D7A7C">
      <w:pPr>
        <w:pStyle w:val="Heading1"/>
        <w:spacing w:before="0"/>
        <w:ind w:left="426" w:right="-59"/>
        <w:rPr>
          <w:b w:val="0"/>
          <w:bCs w:val="0"/>
        </w:rPr>
      </w:pPr>
    </w:p>
    <w:p w14:paraId="328E7790" w14:textId="77777777" w:rsidR="001D7A7C" w:rsidRDefault="001D7A7C" w:rsidP="001D7A7C">
      <w:pPr>
        <w:pStyle w:val="Heading1"/>
        <w:spacing w:before="0"/>
        <w:ind w:left="426" w:right="-59"/>
        <w:rPr>
          <w:b w:val="0"/>
          <w:bCs w:val="0"/>
        </w:rPr>
      </w:pPr>
      <w:r w:rsidRPr="001D7A7C">
        <w:rPr>
          <w:b w:val="0"/>
          <w:bCs w:val="0"/>
        </w:rPr>
        <w:t>RPTs within the scope of Section 188 of the Act, which are either not in the Ordinary Course of Business or are not at Arms’ Length shall require prior approval of the Board of Directors.</w:t>
      </w:r>
    </w:p>
    <w:p w14:paraId="1E8DAB7A" w14:textId="77777777" w:rsidR="001D7A7C" w:rsidRDefault="001D7A7C" w:rsidP="001D7A7C">
      <w:pPr>
        <w:pStyle w:val="Heading1"/>
        <w:spacing w:before="0"/>
        <w:ind w:left="426" w:right="-59"/>
        <w:rPr>
          <w:b w:val="0"/>
          <w:bCs w:val="0"/>
        </w:rPr>
      </w:pPr>
    </w:p>
    <w:p w14:paraId="3BF82AD5" w14:textId="77777777" w:rsidR="001D7A7C" w:rsidRPr="001D7A7C" w:rsidRDefault="001D7A7C" w:rsidP="001D7A7C">
      <w:pPr>
        <w:pStyle w:val="Heading1"/>
        <w:spacing w:before="0"/>
        <w:ind w:left="426" w:right="-59"/>
        <w:rPr>
          <w:b w:val="0"/>
          <w:bCs w:val="0"/>
        </w:rPr>
      </w:pPr>
      <w:r w:rsidRPr="001D7A7C">
        <w:rPr>
          <w:b w:val="0"/>
          <w:bCs w:val="0"/>
        </w:rPr>
        <w:t>In the above context, where any director is interested in any contract or arrangement with a related party, such director shall not be present at the meeting during discussions on the subject matter of the resolution relating to such contract or arrangement, and shall also not vote on such resolution.</w:t>
      </w:r>
    </w:p>
    <w:p w14:paraId="3A8FFA1B" w14:textId="77777777" w:rsidR="001D7A7C" w:rsidRDefault="001D7A7C" w:rsidP="00A22A0F">
      <w:pPr>
        <w:pStyle w:val="Heading1"/>
        <w:numPr>
          <w:ilvl w:val="0"/>
          <w:numId w:val="7"/>
        </w:numPr>
        <w:spacing w:before="0" w:line="506" w:lineRule="exact"/>
        <w:ind w:left="426" w:right="-59" w:hanging="426"/>
      </w:pPr>
      <w:r>
        <w:t>Shareholders’ approval requirements</w:t>
      </w:r>
    </w:p>
    <w:p w14:paraId="407AB7A6" w14:textId="77777777" w:rsidR="001D7A7C" w:rsidRDefault="001D7A7C" w:rsidP="001D7A7C">
      <w:pPr>
        <w:pStyle w:val="Heading1"/>
        <w:spacing w:before="0"/>
        <w:ind w:left="426" w:right="-59"/>
        <w:rPr>
          <w:b w:val="0"/>
          <w:bCs w:val="0"/>
        </w:rPr>
      </w:pPr>
    </w:p>
    <w:p w14:paraId="3EE42CFA" w14:textId="77777777" w:rsidR="001D7A7C" w:rsidRDefault="001D7A7C" w:rsidP="001D7A7C">
      <w:pPr>
        <w:pStyle w:val="Heading1"/>
        <w:spacing w:before="0"/>
        <w:ind w:left="426" w:right="-59"/>
        <w:rPr>
          <w:b w:val="0"/>
          <w:bCs w:val="0"/>
        </w:rPr>
      </w:pPr>
      <w:r w:rsidRPr="001D7A7C">
        <w:rPr>
          <w:b w:val="0"/>
          <w:bCs w:val="0"/>
        </w:rPr>
        <w:t>Shareholder’s approval shall be sought in the following cases as per the requirements of the Act:</w:t>
      </w:r>
    </w:p>
    <w:p w14:paraId="529E4C35" w14:textId="77777777" w:rsidR="001D7A7C" w:rsidRDefault="001D7A7C" w:rsidP="001D7A7C">
      <w:pPr>
        <w:pStyle w:val="Heading1"/>
        <w:spacing w:before="0"/>
        <w:ind w:left="426" w:right="-59"/>
        <w:rPr>
          <w:b w:val="0"/>
          <w:bCs w:val="0"/>
        </w:rPr>
      </w:pPr>
    </w:p>
    <w:p w14:paraId="1DDE81D8" w14:textId="77777777" w:rsidR="001D7A7C" w:rsidRDefault="001D7A7C" w:rsidP="001D7A7C">
      <w:pPr>
        <w:pStyle w:val="Heading1"/>
        <w:numPr>
          <w:ilvl w:val="0"/>
          <w:numId w:val="10"/>
        </w:numPr>
        <w:spacing w:before="0"/>
        <w:ind w:left="851" w:right="-59" w:hanging="425"/>
        <w:rPr>
          <w:b w:val="0"/>
          <w:bCs w:val="0"/>
        </w:rPr>
      </w:pPr>
      <w:r w:rsidRPr="001D7A7C">
        <w:rPr>
          <w:b w:val="0"/>
          <w:bCs w:val="0"/>
        </w:rPr>
        <w:t>RPTs covered within the scope of Section 188 of the Act; which are either not in the ‘Ordinary Course of Business’ or are not on an ‘Arm’s Length Basis’ and exceed the threshold prescribed under the rules made thereunder, shall require prior approval of the shareholders through special resolution.</w:t>
      </w:r>
    </w:p>
    <w:p w14:paraId="7C280738" w14:textId="77777777" w:rsidR="001D7A7C" w:rsidRDefault="001D7A7C" w:rsidP="001D7A7C">
      <w:pPr>
        <w:pStyle w:val="Heading1"/>
        <w:spacing w:before="0"/>
        <w:ind w:left="851" w:right="-59" w:hanging="425"/>
        <w:rPr>
          <w:b w:val="0"/>
          <w:bCs w:val="0"/>
        </w:rPr>
      </w:pPr>
    </w:p>
    <w:p w14:paraId="26A9E1B0" w14:textId="77777777" w:rsidR="001D7A7C" w:rsidRDefault="001D7A7C" w:rsidP="001D7A7C">
      <w:pPr>
        <w:pStyle w:val="Heading1"/>
        <w:numPr>
          <w:ilvl w:val="0"/>
          <w:numId w:val="10"/>
        </w:numPr>
        <w:spacing w:before="0"/>
        <w:ind w:left="851" w:right="-59" w:hanging="425"/>
        <w:rPr>
          <w:b w:val="0"/>
          <w:bCs w:val="0"/>
        </w:rPr>
      </w:pPr>
      <w:r w:rsidRPr="001D7A7C">
        <w:rPr>
          <w:b w:val="0"/>
          <w:bCs w:val="0"/>
        </w:rPr>
        <w:t>No member of the Company shall vote in a special resolution where a related party contract or arrangement is being considered if such a member is a related party in the context of the contract or arrangement which is being considered.</w:t>
      </w:r>
    </w:p>
    <w:p w14:paraId="5E43D79B" w14:textId="77777777" w:rsidR="001D7A7C" w:rsidRDefault="001D7A7C" w:rsidP="001D7A7C">
      <w:pPr>
        <w:pStyle w:val="Heading1"/>
        <w:spacing w:before="0"/>
        <w:ind w:left="426" w:right="-59"/>
        <w:rPr>
          <w:b w:val="0"/>
          <w:bCs w:val="0"/>
        </w:rPr>
      </w:pPr>
    </w:p>
    <w:p w14:paraId="6BB337C3" w14:textId="77777777" w:rsidR="001D7A7C" w:rsidRDefault="001D7A7C" w:rsidP="001D7A7C">
      <w:pPr>
        <w:pStyle w:val="Heading1"/>
        <w:spacing w:before="0"/>
        <w:ind w:left="426" w:right="-59"/>
        <w:rPr>
          <w:b w:val="0"/>
          <w:bCs w:val="0"/>
        </w:rPr>
      </w:pPr>
      <w:r w:rsidRPr="001D7A7C">
        <w:rPr>
          <w:b w:val="0"/>
          <w:bCs w:val="0"/>
        </w:rPr>
        <w:t>Shareholder’s approval shall be sought in the following cases as per the requirements of LODR:</w:t>
      </w:r>
    </w:p>
    <w:p w14:paraId="556F279A" w14:textId="77777777" w:rsidR="001D7A7C" w:rsidRDefault="001D7A7C" w:rsidP="001D7A7C">
      <w:pPr>
        <w:pStyle w:val="Heading1"/>
        <w:spacing w:before="0"/>
        <w:ind w:left="426" w:right="-59"/>
        <w:rPr>
          <w:b w:val="0"/>
          <w:bCs w:val="0"/>
        </w:rPr>
      </w:pPr>
    </w:p>
    <w:p w14:paraId="244F3137" w14:textId="77777777" w:rsidR="001D7A7C" w:rsidRPr="001D7A7C" w:rsidRDefault="001D7A7C" w:rsidP="001D7A7C">
      <w:pPr>
        <w:pStyle w:val="Heading1"/>
        <w:numPr>
          <w:ilvl w:val="0"/>
          <w:numId w:val="11"/>
        </w:numPr>
        <w:spacing w:before="0"/>
        <w:ind w:left="851" w:right="-59" w:hanging="425"/>
        <w:rPr>
          <w:b w:val="0"/>
          <w:bCs w:val="0"/>
        </w:rPr>
      </w:pPr>
      <w:r w:rsidRPr="001D7A7C">
        <w:rPr>
          <w:b w:val="0"/>
          <w:bCs w:val="0"/>
        </w:rPr>
        <w:t>All Material RPTs covered within the scope of LODR shall require approval of the shareholders through special resolution. For this purpose, no related party shall vote to approve such resolutions whether the entity is a related party to the particular transaction or not</w:t>
      </w:r>
    </w:p>
    <w:p w14:paraId="0D1FBE89" w14:textId="77777777" w:rsidR="001D7A7C" w:rsidRPr="001D7A7C" w:rsidRDefault="001D7A7C" w:rsidP="001D7A7C">
      <w:pPr>
        <w:pStyle w:val="Heading1"/>
        <w:spacing w:before="0"/>
        <w:ind w:left="851" w:right="-59" w:hanging="425"/>
        <w:rPr>
          <w:b w:val="0"/>
          <w:bCs w:val="0"/>
        </w:rPr>
      </w:pPr>
    </w:p>
    <w:p w14:paraId="15DD400D" w14:textId="77777777" w:rsidR="001D7A7C" w:rsidRDefault="001D7A7C" w:rsidP="001D7A7C">
      <w:pPr>
        <w:pStyle w:val="Heading1"/>
        <w:numPr>
          <w:ilvl w:val="0"/>
          <w:numId w:val="11"/>
        </w:numPr>
        <w:spacing w:before="0"/>
        <w:ind w:left="851" w:right="-59" w:hanging="425"/>
        <w:rPr>
          <w:b w:val="0"/>
          <w:bCs w:val="0"/>
        </w:rPr>
      </w:pPr>
      <w:r w:rsidRPr="001D7A7C">
        <w:rPr>
          <w:b w:val="0"/>
          <w:bCs w:val="0"/>
        </w:rPr>
        <w:t>However, the above shall not be applicable to:</w:t>
      </w:r>
    </w:p>
    <w:p w14:paraId="63EEE1A0" w14:textId="77777777" w:rsidR="001D7A7C" w:rsidRDefault="001D7A7C" w:rsidP="001D7A7C">
      <w:pPr>
        <w:pStyle w:val="ListParagraph"/>
        <w:rPr>
          <w:b/>
          <w:bCs/>
        </w:rPr>
      </w:pPr>
    </w:p>
    <w:p w14:paraId="5E52AC16" w14:textId="28FDC251" w:rsidR="001D7A7C" w:rsidRPr="001D7A7C" w:rsidRDefault="001D7A7C" w:rsidP="001D7A7C">
      <w:pPr>
        <w:pStyle w:val="Heading1"/>
        <w:numPr>
          <w:ilvl w:val="0"/>
          <w:numId w:val="12"/>
        </w:numPr>
        <w:spacing w:before="0"/>
        <w:ind w:left="1276" w:right="-59" w:hanging="425"/>
        <w:rPr>
          <w:b w:val="0"/>
          <w:bCs w:val="0"/>
        </w:rPr>
      </w:pPr>
      <w:r w:rsidRPr="001D7A7C">
        <w:rPr>
          <w:b w:val="0"/>
          <w:bCs w:val="0"/>
        </w:rPr>
        <w:t xml:space="preserve">transactions between </w:t>
      </w:r>
      <w:r w:rsidR="00743A9B">
        <w:rPr>
          <w:b w:val="0"/>
          <w:bCs w:val="0"/>
        </w:rPr>
        <w:t>Infurnia Holdings</w:t>
      </w:r>
      <w:r w:rsidRPr="001D7A7C">
        <w:rPr>
          <w:b w:val="0"/>
          <w:bCs w:val="0"/>
        </w:rPr>
        <w:t xml:space="preserve"> Limited and its wholly owned subsidiary whose accounts are consolidated with </w:t>
      </w:r>
      <w:r w:rsidR="00743A9B">
        <w:rPr>
          <w:b w:val="0"/>
          <w:bCs w:val="0"/>
        </w:rPr>
        <w:t>Infurnia Holdings</w:t>
      </w:r>
      <w:r w:rsidRPr="001D7A7C">
        <w:rPr>
          <w:b w:val="0"/>
          <w:bCs w:val="0"/>
        </w:rPr>
        <w:t xml:space="preserve"> Limited and placed before the shareholders at the general meeting for approval; and</w:t>
      </w:r>
    </w:p>
    <w:p w14:paraId="24A0B697" w14:textId="77777777" w:rsidR="001D7A7C" w:rsidRPr="001D7A7C" w:rsidRDefault="001D7A7C" w:rsidP="001D7A7C">
      <w:pPr>
        <w:pStyle w:val="Heading1"/>
        <w:spacing w:before="0"/>
        <w:ind w:left="1276" w:right="-59" w:hanging="425"/>
        <w:rPr>
          <w:b w:val="0"/>
          <w:bCs w:val="0"/>
        </w:rPr>
      </w:pPr>
    </w:p>
    <w:p w14:paraId="4489763A" w14:textId="77777777" w:rsidR="001D7A7C" w:rsidRPr="001D7A7C" w:rsidRDefault="001D7A7C" w:rsidP="001D7A7C">
      <w:pPr>
        <w:pStyle w:val="Heading1"/>
        <w:numPr>
          <w:ilvl w:val="0"/>
          <w:numId w:val="12"/>
        </w:numPr>
        <w:spacing w:before="0"/>
        <w:ind w:left="1276" w:right="-59" w:hanging="425"/>
        <w:rPr>
          <w:b w:val="0"/>
          <w:bCs w:val="0"/>
        </w:rPr>
      </w:pPr>
      <w:r w:rsidRPr="001D7A7C">
        <w:rPr>
          <w:b w:val="0"/>
          <w:bCs w:val="0"/>
        </w:rPr>
        <w:t>such other transactions as may be exempted by LODR, if not covered under the Act.</w:t>
      </w:r>
    </w:p>
    <w:p w14:paraId="688971D3" w14:textId="77777777" w:rsidR="00F95824" w:rsidRDefault="00F95824" w:rsidP="00653F13">
      <w:pPr>
        <w:pStyle w:val="Heading1"/>
        <w:spacing w:before="0"/>
      </w:pPr>
    </w:p>
    <w:p w14:paraId="7BE094EC" w14:textId="77777777" w:rsidR="00F95824" w:rsidRDefault="00F95824" w:rsidP="00653F13">
      <w:pPr>
        <w:pStyle w:val="Heading1"/>
        <w:spacing w:before="0"/>
      </w:pPr>
    </w:p>
    <w:p w14:paraId="71BE29CD" w14:textId="77777777" w:rsidR="00B62B8E" w:rsidRPr="00A9451F" w:rsidRDefault="001D7A7C" w:rsidP="00F95824">
      <w:pPr>
        <w:pStyle w:val="Heading1"/>
        <w:numPr>
          <w:ilvl w:val="0"/>
          <w:numId w:val="3"/>
        </w:numPr>
        <w:spacing w:before="0"/>
      </w:pPr>
      <w:r w:rsidRPr="00A9451F">
        <w:t>DISCLOSURES</w:t>
      </w:r>
    </w:p>
    <w:p w14:paraId="27569848" w14:textId="77777777" w:rsidR="00B62B8E" w:rsidRPr="001D7A7C" w:rsidRDefault="00B62B8E">
      <w:pPr>
        <w:pStyle w:val="BodyText"/>
        <w:ind w:left="0"/>
        <w:jc w:val="left"/>
        <w:rPr>
          <w:b/>
          <w:sz w:val="21"/>
          <w:highlight w:val="yellow"/>
        </w:rPr>
      </w:pPr>
    </w:p>
    <w:p w14:paraId="401CD0E8" w14:textId="77777777" w:rsidR="00653F13" w:rsidRDefault="00653F13">
      <w:pPr>
        <w:pStyle w:val="BodyText"/>
        <w:spacing w:line="276" w:lineRule="auto"/>
        <w:ind w:right="114"/>
      </w:pPr>
      <w:r>
        <w:t>Disclosures with respect to Transactions with Related Party shall be made as per applicable provisions of the Act and LODR</w:t>
      </w:r>
    </w:p>
    <w:p w14:paraId="2C872A73" w14:textId="77777777" w:rsidR="00B62B8E" w:rsidRDefault="001D7A7C" w:rsidP="00F95824">
      <w:pPr>
        <w:pStyle w:val="Heading1"/>
        <w:numPr>
          <w:ilvl w:val="0"/>
          <w:numId w:val="3"/>
        </w:numPr>
        <w:spacing w:before="213"/>
      </w:pPr>
      <w:r w:rsidRPr="007E1B53">
        <w:rPr>
          <w:spacing w:val="-1"/>
        </w:rPr>
        <w:t xml:space="preserve"> </w:t>
      </w:r>
      <w:r w:rsidRPr="007E1B53">
        <w:t>RELATED</w:t>
      </w:r>
      <w:r w:rsidRPr="007E1B53">
        <w:rPr>
          <w:spacing w:val="-4"/>
        </w:rPr>
        <w:t xml:space="preserve"> </w:t>
      </w:r>
      <w:r w:rsidRPr="007E1B53">
        <w:t>PARTY</w:t>
      </w:r>
      <w:r w:rsidRPr="007E1B53">
        <w:rPr>
          <w:spacing w:val="-2"/>
        </w:rPr>
        <w:t xml:space="preserve"> </w:t>
      </w:r>
      <w:r w:rsidRPr="007E1B53">
        <w:t>TRANSACTIONS</w:t>
      </w:r>
      <w:r w:rsidRPr="007E1B53">
        <w:rPr>
          <w:spacing w:val="-2"/>
        </w:rPr>
        <w:t xml:space="preserve"> </w:t>
      </w:r>
      <w:r w:rsidRPr="007E1B53">
        <w:t>NOT</w:t>
      </w:r>
      <w:r w:rsidRPr="007E1B53">
        <w:rPr>
          <w:spacing w:val="-4"/>
        </w:rPr>
        <w:t xml:space="preserve"> </w:t>
      </w:r>
      <w:r w:rsidRPr="007E1B53">
        <w:t>APPROVED</w:t>
      </w:r>
      <w:r w:rsidRPr="007E1B53">
        <w:rPr>
          <w:spacing w:val="-2"/>
        </w:rPr>
        <w:t xml:space="preserve"> </w:t>
      </w:r>
      <w:r w:rsidRPr="007E1B53">
        <w:t>UNDER</w:t>
      </w:r>
      <w:r w:rsidRPr="007E1B53">
        <w:rPr>
          <w:spacing w:val="-2"/>
        </w:rPr>
        <w:t xml:space="preserve"> </w:t>
      </w:r>
      <w:r w:rsidRPr="007E1B53">
        <w:t>THIS</w:t>
      </w:r>
      <w:r w:rsidRPr="007E1B53">
        <w:rPr>
          <w:spacing w:val="-3"/>
        </w:rPr>
        <w:t xml:space="preserve"> </w:t>
      </w:r>
      <w:r w:rsidRPr="007E1B53">
        <w:t>POLICY</w:t>
      </w:r>
    </w:p>
    <w:p w14:paraId="58745345" w14:textId="77777777" w:rsidR="00F95824" w:rsidRDefault="00F95824" w:rsidP="00F95824">
      <w:pPr>
        <w:pStyle w:val="BodyText"/>
        <w:spacing w:line="276" w:lineRule="auto"/>
        <w:ind w:left="142" w:right="114"/>
      </w:pPr>
    </w:p>
    <w:p w14:paraId="01AB6193" w14:textId="77777777" w:rsidR="00F95824" w:rsidRPr="007E1B53" w:rsidRDefault="00F95824" w:rsidP="00F95824">
      <w:pPr>
        <w:pStyle w:val="BodyText"/>
        <w:spacing w:line="276" w:lineRule="auto"/>
        <w:ind w:left="142" w:right="114"/>
      </w:pPr>
      <w:r w:rsidRPr="007E1B53">
        <w:t>In the event the Company becomes aware of a transaction with a related party that has not</w:t>
      </w:r>
      <w:r w:rsidRPr="007E1B53">
        <w:rPr>
          <w:spacing w:val="1"/>
        </w:rPr>
        <w:t xml:space="preserve"> </w:t>
      </w:r>
      <w:r w:rsidRPr="007E1B53">
        <w:t>been approved in accordance with this Policy prior to its consummation, the matter shall be</w:t>
      </w:r>
      <w:r w:rsidRPr="007E1B53">
        <w:rPr>
          <w:spacing w:val="1"/>
        </w:rPr>
        <w:t xml:space="preserve"> </w:t>
      </w:r>
      <w:r w:rsidRPr="007E1B53">
        <w:t>reviewed</w:t>
      </w:r>
      <w:r w:rsidRPr="007E1B53">
        <w:rPr>
          <w:spacing w:val="34"/>
        </w:rPr>
        <w:t xml:space="preserve"> </w:t>
      </w:r>
      <w:r w:rsidRPr="007E1B53">
        <w:t>by</w:t>
      </w:r>
      <w:r w:rsidRPr="007E1B53">
        <w:rPr>
          <w:spacing w:val="35"/>
        </w:rPr>
        <w:t xml:space="preserve"> </w:t>
      </w:r>
      <w:r w:rsidRPr="007E1B53">
        <w:t>the</w:t>
      </w:r>
      <w:r w:rsidRPr="007E1B53">
        <w:rPr>
          <w:spacing w:val="33"/>
        </w:rPr>
        <w:t xml:space="preserve"> </w:t>
      </w:r>
      <w:r w:rsidRPr="007E1B53">
        <w:t>Audit</w:t>
      </w:r>
      <w:r w:rsidRPr="007E1B53">
        <w:rPr>
          <w:spacing w:val="32"/>
        </w:rPr>
        <w:t xml:space="preserve"> </w:t>
      </w:r>
      <w:r w:rsidRPr="007E1B53">
        <w:t>Committee.</w:t>
      </w:r>
      <w:r w:rsidRPr="007E1B53">
        <w:rPr>
          <w:spacing w:val="36"/>
        </w:rPr>
        <w:t xml:space="preserve"> </w:t>
      </w:r>
      <w:r w:rsidRPr="007E1B53">
        <w:t>The</w:t>
      </w:r>
      <w:r w:rsidRPr="007E1B53">
        <w:rPr>
          <w:spacing w:val="35"/>
        </w:rPr>
        <w:t xml:space="preserve"> </w:t>
      </w:r>
      <w:r w:rsidRPr="007E1B53">
        <w:t>Audit</w:t>
      </w:r>
      <w:r w:rsidRPr="007E1B53">
        <w:rPr>
          <w:spacing w:val="32"/>
        </w:rPr>
        <w:t xml:space="preserve"> </w:t>
      </w:r>
      <w:r w:rsidRPr="007E1B53">
        <w:t>Committee</w:t>
      </w:r>
      <w:r w:rsidRPr="007E1B53">
        <w:rPr>
          <w:spacing w:val="36"/>
        </w:rPr>
        <w:t xml:space="preserve"> </w:t>
      </w:r>
      <w:r w:rsidRPr="007E1B53">
        <w:t>shall</w:t>
      </w:r>
      <w:r w:rsidRPr="007E1B53">
        <w:rPr>
          <w:spacing w:val="35"/>
        </w:rPr>
        <w:t xml:space="preserve"> </w:t>
      </w:r>
      <w:r w:rsidRPr="007E1B53">
        <w:t>consider</w:t>
      </w:r>
      <w:r w:rsidRPr="007E1B53">
        <w:rPr>
          <w:spacing w:val="36"/>
        </w:rPr>
        <w:t xml:space="preserve"> </w:t>
      </w:r>
      <w:r w:rsidRPr="007E1B53">
        <w:t>all</w:t>
      </w:r>
      <w:r w:rsidRPr="007E1B53">
        <w:rPr>
          <w:spacing w:val="33"/>
        </w:rPr>
        <w:t xml:space="preserve"> </w:t>
      </w:r>
      <w:r w:rsidRPr="007E1B53">
        <w:t>of</w:t>
      </w:r>
      <w:r w:rsidRPr="007E1B53">
        <w:rPr>
          <w:spacing w:val="34"/>
        </w:rPr>
        <w:t xml:space="preserve"> </w:t>
      </w:r>
      <w:r w:rsidRPr="007E1B53">
        <w:t>the</w:t>
      </w:r>
      <w:r w:rsidRPr="007E1B53">
        <w:rPr>
          <w:spacing w:val="34"/>
        </w:rPr>
        <w:t xml:space="preserve"> </w:t>
      </w:r>
      <w:r w:rsidRPr="007E1B53">
        <w:t>relevant</w:t>
      </w:r>
      <w:r w:rsidRPr="007E1B53">
        <w:rPr>
          <w:spacing w:val="-63"/>
        </w:rPr>
        <w:t xml:space="preserve"> </w:t>
      </w:r>
      <w:r w:rsidRPr="007E1B53">
        <w:t>facts and circumstances regarding the related party transaction, and shall evaluate all options</w:t>
      </w:r>
      <w:r w:rsidRPr="007E1B53">
        <w:rPr>
          <w:spacing w:val="-64"/>
        </w:rPr>
        <w:t xml:space="preserve"> </w:t>
      </w:r>
      <w:r w:rsidRPr="007E1B53">
        <w:t>available to the Company, including ratification, revision or termination of the related party</w:t>
      </w:r>
      <w:r w:rsidRPr="007E1B53">
        <w:rPr>
          <w:spacing w:val="1"/>
        </w:rPr>
        <w:t xml:space="preserve"> </w:t>
      </w:r>
      <w:r w:rsidRPr="007E1B53">
        <w:t>transaction.</w:t>
      </w:r>
      <w:r w:rsidRPr="007E1B53">
        <w:rPr>
          <w:spacing w:val="15"/>
        </w:rPr>
        <w:t xml:space="preserve"> </w:t>
      </w:r>
      <w:r w:rsidRPr="007E1B53">
        <w:t>The</w:t>
      </w:r>
      <w:r w:rsidRPr="007E1B53">
        <w:rPr>
          <w:spacing w:val="15"/>
        </w:rPr>
        <w:t xml:space="preserve"> </w:t>
      </w:r>
      <w:r w:rsidRPr="007E1B53">
        <w:t>Audit</w:t>
      </w:r>
      <w:r w:rsidRPr="007E1B53">
        <w:rPr>
          <w:spacing w:val="14"/>
        </w:rPr>
        <w:t xml:space="preserve"> </w:t>
      </w:r>
      <w:r w:rsidRPr="007E1B53">
        <w:t>Committee</w:t>
      </w:r>
      <w:r w:rsidRPr="007E1B53">
        <w:rPr>
          <w:spacing w:val="16"/>
        </w:rPr>
        <w:t xml:space="preserve"> </w:t>
      </w:r>
      <w:r w:rsidRPr="007E1B53">
        <w:t>shall</w:t>
      </w:r>
      <w:r w:rsidRPr="007E1B53">
        <w:rPr>
          <w:spacing w:val="16"/>
        </w:rPr>
        <w:t xml:space="preserve"> </w:t>
      </w:r>
      <w:r w:rsidRPr="007E1B53">
        <w:t>also</w:t>
      </w:r>
      <w:r w:rsidRPr="007E1B53">
        <w:rPr>
          <w:spacing w:val="15"/>
        </w:rPr>
        <w:t xml:space="preserve"> </w:t>
      </w:r>
      <w:r w:rsidRPr="007E1B53">
        <w:t>examine</w:t>
      </w:r>
      <w:r w:rsidRPr="007E1B53">
        <w:rPr>
          <w:spacing w:val="16"/>
        </w:rPr>
        <w:t xml:space="preserve"> </w:t>
      </w:r>
      <w:r w:rsidRPr="007E1B53">
        <w:t>the</w:t>
      </w:r>
      <w:r w:rsidRPr="007E1B53">
        <w:rPr>
          <w:spacing w:val="14"/>
        </w:rPr>
        <w:t xml:space="preserve"> </w:t>
      </w:r>
      <w:r w:rsidRPr="007E1B53">
        <w:t>facts</w:t>
      </w:r>
      <w:r w:rsidRPr="007E1B53">
        <w:rPr>
          <w:spacing w:val="16"/>
        </w:rPr>
        <w:t xml:space="preserve"> </w:t>
      </w:r>
      <w:r w:rsidRPr="007E1B53">
        <w:t>and</w:t>
      </w:r>
      <w:r w:rsidRPr="007E1B53">
        <w:rPr>
          <w:spacing w:val="15"/>
        </w:rPr>
        <w:t xml:space="preserve"> </w:t>
      </w:r>
      <w:r w:rsidRPr="007E1B53">
        <w:t>circumstances</w:t>
      </w:r>
      <w:r w:rsidRPr="007E1B53">
        <w:rPr>
          <w:spacing w:val="15"/>
        </w:rPr>
        <w:t xml:space="preserve"> </w:t>
      </w:r>
      <w:r w:rsidRPr="007E1B53">
        <w:t>pertaining</w:t>
      </w:r>
      <w:r w:rsidRPr="007E1B53">
        <w:rPr>
          <w:spacing w:val="-64"/>
        </w:rPr>
        <w:t xml:space="preserve"> </w:t>
      </w:r>
      <w:r w:rsidRPr="007E1B53">
        <w:t>to the failure of reporting such related party transaction to the Audit Committee under this</w:t>
      </w:r>
      <w:r w:rsidRPr="007E1B53">
        <w:rPr>
          <w:spacing w:val="1"/>
        </w:rPr>
        <w:t xml:space="preserve"> </w:t>
      </w:r>
      <w:r w:rsidRPr="007E1B53">
        <w:t>Policy and failure of the internal control systems, and shall take any such action it deems</w:t>
      </w:r>
      <w:r w:rsidRPr="007E1B53">
        <w:rPr>
          <w:spacing w:val="1"/>
        </w:rPr>
        <w:t xml:space="preserve"> </w:t>
      </w:r>
      <w:r w:rsidRPr="007E1B53">
        <w:t>appropriate.</w:t>
      </w:r>
    </w:p>
    <w:p w14:paraId="26CB0046" w14:textId="77777777" w:rsidR="00F95824" w:rsidRDefault="00F95824" w:rsidP="00F95824">
      <w:pPr>
        <w:pStyle w:val="BodyText"/>
        <w:spacing w:before="80" w:line="276" w:lineRule="auto"/>
        <w:ind w:left="142" w:right="116"/>
      </w:pPr>
      <w:r w:rsidRPr="007E1B53">
        <w:t>In any case, where the Audit Committee determines not to ratify a related party transaction</w:t>
      </w:r>
      <w:r w:rsidRPr="007E1B53">
        <w:rPr>
          <w:spacing w:val="1"/>
        </w:rPr>
        <w:t xml:space="preserve"> </w:t>
      </w:r>
      <w:r w:rsidRPr="007E1B53">
        <w:t>that has been commenced without approval, the Audit Committee, as appropriate, may direct</w:t>
      </w:r>
      <w:r w:rsidRPr="007E1B53">
        <w:rPr>
          <w:spacing w:val="-64"/>
        </w:rPr>
        <w:t xml:space="preserve"> </w:t>
      </w:r>
      <w:r w:rsidRPr="007E1B53">
        <w:t>additional actions including, but not limited to, discontinuation of the transaction or seeking</w:t>
      </w:r>
      <w:r w:rsidRPr="007E1B53">
        <w:rPr>
          <w:spacing w:val="1"/>
        </w:rPr>
        <w:t xml:space="preserve"> </w:t>
      </w:r>
      <w:r w:rsidRPr="007E1B53">
        <w:t>the approval of the shareholders, payment of compensation for the loss suffered by the</w:t>
      </w:r>
      <w:r w:rsidRPr="007E1B53">
        <w:rPr>
          <w:spacing w:val="1"/>
        </w:rPr>
        <w:t xml:space="preserve"> </w:t>
      </w:r>
      <w:r w:rsidRPr="007E1B53">
        <w:t>related party etc. In connection with any review/approval of a related party transaction, the</w:t>
      </w:r>
      <w:r w:rsidRPr="007E1B53">
        <w:rPr>
          <w:spacing w:val="1"/>
        </w:rPr>
        <w:t xml:space="preserve"> </w:t>
      </w:r>
      <w:r w:rsidRPr="007E1B53">
        <w:t>Audit</w:t>
      </w:r>
      <w:r w:rsidRPr="007E1B53">
        <w:rPr>
          <w:spacing w:val="-4"/>
        </w:rPr>
        <w:t xml:space="preserve"> </w:t>
      </w:r>
      <w:r w:rsidRPr="007E1B53">
        <w:t>Committee</w:t>
      </w:r>
      <w:r w:rsidRPr="007E1B53">
        <w:rPr>
          <w:spacing w:val="-3"/>
        </w:rPr>
        <w:t xml:space="preserve"> </w:t>
      </w:r>
      <w:r w:rsidRPr="007E1B53">
        <w:t>has</w:t>
      </w:r>
      <w:r w:rsidRPr="007E1B53">
        <w:rPr>
          <w:spacing w:val="-3"/>
        </w:rPr>
        <w:t xml:space="preserve"> </w:t>
      </w:r>
      <w:r w:rsidRPr="007E1B53">
        <w:t>authority</w:t>
      </w:r>
      <w:r w:rsidRPr="007E1B53">
        <w:rPr>
          <w:spacing w:val="-3"/>
        </w:rPr>
        <w:t xml:space="preserve"> </w:t>
      </w:r>
      <w:r w:rsidRPr="007E1B53">
        <w:t>to</w:t>
      </w:r>
      <w:r w:rsidRPr="007E1B53">
        <w:rPr>
          <w:spacing w:val="-4"/>
        </w:rPr>
        <w:t xml:space="preserve"> </w:t>
      </w:r>
      <w:r w:rsidRPr="007E1B53">
        <w:t>modify</w:t>
      </w:r>
      <w:r>
        <w:rPr>
          <w:spacing w:val="-3"/>
        </w:rPr>
        <w:t xml:space="preserve"> </w:t>
      </w:r>
      <w:r>
        <w:t>or waive</w:t>
      </w:r>
      <w:r>
        <w:rPr>
          <w:spacing w:val="-3"/>
        </w:rPr>
        <w:t xml:space="preserve"> </w:t>
      </w:r>
      <w:r>
        <w:t>any</w:t>
      </w:r>
      <w:r>
        <w:rPr>
          <w:spacing w:val="-3"/>
        </w:rPr>
        <w:t xml:space="preserve"> </w:t>
      </w:r>
      <w:r>
        <w:t>procedural</w:t>
      </w:r>
      <w:r>
        <w:rPr>
          <w:spacing w:val="-5"/>
        </w:rPr>
        <w:t xml:space="preserve"> </w:t>
      </w:r>
      <w:r>
        <w:t>requirements</w:t>
      </w:r>
      <w:r>
        <w:rPr>
          <w:spacing w:val="-2"/>
        </w:rPr>
        <w:t xml:space="preserve"> </w:t>
      </w:r>
      <w:r>
        <w:t>of</w:t>
      </w:r>
      <w:r>
        <w:rPr>
          <w:spacing w:val="-3"/>
        </w:rPr>
        <w:t xml:space="preserve"> </w:t>
      </w:r>
      <w:r>
        <w:t>this</w:t>
      </w:r>
      <w:r>
        <w:rPr>
          <w:spacing w:val="-3"/>
        </w:rPr>
        <w:t xml:space="preserve"> </w:t>
      </w:r>
      <w:r>
        <w:t>Policy.</w:t>
      </w:r>
    </w:p>
    <w:p w14:paraId="54D635ED" w14:textId="77777777" w:rsidR="00F95824" w:rsidRDefault="00F95824" w:rsidP="00F95824">
      <w:pPr>
        <w:pStyle w:val="Heading1"/>
        <w:numPr>
          <w:ilvl w:val="0"/>
          <w:numId w:val="3"/>
        </w:numPr>
        <w:spacing w:before="213"/>
      </w:pPr>
      <w:r>
        <w:t>Scope Limitation</w:t>
      </w:r>
    </w:p>
    <w:p w14:paraId="38DFB44B" w14:textId="77777777" w:rsidR="00F95824" w:rsidRPr="00F95824" w:rsidRDefault="00F95824" w:rsidP="00F95824">
      <w:pPr>
        <w:pStyle w:val="Heading1"/>
        <w:spacing w:before="213"/>
        <w:ind w:left="99"/>
        <w:rPr>
          <w:b w:val="0"/>
          <w:bCs w:val="0"/>
        </w:rPr>
      </w:pPr>
      <w:r w:rsidRPr="00F95824">
        <w:rPr>
          <w:b w:val="0"/>
          <w:bCs w:val="0"/>
        </w:rPr>
        <w:t>In the event of any conflict between the provisions of this Policy and of LODR / the Act or any other statutory enactments, rules, then later shall prevail.</w:t>
      </w:r>
    </w:p>
    <w:p w14:paraId="79146A00" w14:textId="77777777" w:rsidR="00F95824" w:rsidRPr="007E1B53" w:rsidRDefault="00F95824" w:rsidP="00F95824">
      <w:pPr>
        <w:pStyle w:val="Heading1"/>
        <w:numPr>
          <w:ilvl w:val="0"/>
          <w:numId w:val="3"/>
        </w:numPr>
        <w:spacing w:before="213"/>
      </w:pPr>
      <w:r>
        <w:t>Amendments to the Policy</w:t>
      </w:r>
    </w:p>
    <w:p w14:paraId="1F336A27" w14:textId="77777777" w:rsidR="00B62B8E" w:rsidRPr="007E1B53" w:rsidRDefault="00B62B8E">
      <w:pPr>
        <w:pStyle w:val="BodyText"/>
        <w:spacing w:before="7"/>
        <w:ind w:left="0"/>
        <w:jc w:val="left"/>
        <w:rPr>
          <w:b/>
          <w:sz w:val="21"/>
        </w:rPr>
      </w:pPr>
    </w:p>
    <w:p w14:paraId="127C203B" w14:textId="77777777" w:rsidR="00B62B8E" w:rsidRDefault="00F95824" w:rsidP="00F95824">
      <w:pPr>
        <w:pStyle w:val="BodyText"/>
        <w:spacing w:line="276" w:lineRule="auto"/>
        <w:ind w:right="114"/>
      </w:pPr>
      <w:r>
        <w:t>The board of directors of the Company reserves the right to modify and/or amend this Policy at any time subject to the provisions of LODR and the Act and Rules framed thereunder.</w:t>
      </w:r>
    </w:p>
    <w:sectPr w:rsidR="00B62B8E" w:rsidSect="00F95824">
      <w:pgSz w:w="12240" w:h="15840"/>
      <w:pgMar w:top="1360" w:right="1320" w:bottom="709"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C7F"/>
    <w:multiLevelType w:val="hybridMultilevel"/>
    <w:tmpl w:val="1E40CA80"/>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 w15:restartNumberingAfterBreak="0">
    <w:nsid w:val="131C45D2"/>
    <w:multiLevelType w:val="hybridMultilevel"/>
    <w:tmpl w:val="75245600"/>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 w15:restartNumberingAfterBreak="0">
    <w:nsid w:val="17DA29B6"/>
    <w:multiLevelType w:val="hybridMultilevel"/>
    <w:tmpl w:val="D66200EE"/>
    <w:lvl w:ilvl="0" w:tplc="12F80AF6">
      <w:start w:val="1"/>
      <w:numFmt w:val="lowerRoman"/>
      <w:lvlText w:val="%1)"/>
      <w:lvlJc w:val="left"/>
      <w:pPr>
        <w:ind w:left="100" w:hanging="245"/>
      </w:pPr>
      <w:rPr>
        <w:rFonts w:ascii="Trebuchet MS" w:eastAsia="Trebuchet MS" w:hAnsi="Trebuchet MS" w:cs="Trebuchet MS" w:hint="default"/>
        <w:spacing w:val="-1"/>
        <w:w w:val="100"/>
        <w:sz w:val="22"/>
        <w:szCs w:val="22"/>
        <w:lang w:val="en-US" w:eastAsia="en-US" w:bidi="ar-SA"/>
      </w:rPr>
    </w:lvl>
    <w:lvl w:ilvl="1" w:tplc="DC20546E">
      <w:numFmt w:val="bullet"/>
      <w:lvlText w:val=""/>
      <w:lvlJc w:val="left"/>
      <w:pPr>
        <w:ind w:left="851" w:hanging="360"/>
      </w:pPr>
      <w:rPr>
        <w:rFonts w:ascii="Symbol" w:eastAsia="Symbol" w:hAnsi="Symbol" w:cs="Symbol" w:hint="default"/>
        <w:w w:val="100"/>
        <w:sz w:val="22"/>
        <w:szCs w:val="22"/>
        <w:lang w:val="en-US" w:eastAsia="en-US" w:bidi="ar-SA"/>
      </w:rPr>
    </w:lvl>
    <w:lvl w:ilvl="2" w:tplc="7A581E1A">
      <w:numFmt w:val="bullet"/>
      <w:lvlText w:val="•"/>
      <w:lvlJc w:val="left"/>
      <w:pPr>
        <w:ind w:left="1828" w:hanging="360"/>
      </w:pPr>
      <w:rPr>
        <w:rFonts w:hint="default"/>
        <w:lang w:val="en-US" w:eastAsia="en-US" w:bidi="ar-SA"/>
      </w:rPr>
    </w:lvl>
    <w:lvl w:ilvl="3" w:tplc="30FE1042">
      <w:numFmt w:val="bullet"/>
      <w:lvlText w:val="•"/>
      <w:lvlJc w:val="left"/>
      <w:pPr>
        <w:ind w:left="2797" w:hanging="360"/>
      </w:pPr>
      <w:rPr>
        <w:rFonts w:hint="default"/>
        <w:lang w:val="en-US" w:eastAsia="en-US" w:bidi="ar-SA"/>
      </w:rPr>
    </w:lvl>
    <w:lvl w:ilvl="4" w:tplc="2CECAF22">
      <w:numFmt w:val="bullet"/>
      <w:lvlText w:val="•"/>
      <w:lvlJc w:val="left"/>
      <w:pPr>
        <w:ind w:left="3766" w:hanging="360"/>
      </w:pPr>
      <w:rPr>
        <w:rFonts w:hint="default"/>
        <w:lang w:val="en-US" w:eastAsia="en-US" w:bidi="ar-SA"/>
      </w:rPr>
    </w:lvl>
    <w:lvl w:ilvl="5" w:tplc="44A26450">
      <w:numFmt w:val="bullet"/>
      <w:lvlText w:val="•"/>
      <w:lvlJc w:val="left"/>
      <w:pPr>
        <w:ind w:left="4735" w:hanging="360"/>
      </w:pPr>
      <w:rPr>
        <w:rFonts w:hint="default"/>
        <w:lang w:val="en-US" w:eastAsia="en-US" w:bidi="ar-SA"/>
      </w:rPr>
    </w:lvl>
    <w:lvl w:ilvl="6" w:tplc="BCA0CFFE">
      <w:numFmt w:val="bullet"/>
      <w:lvlText w:val="•"/>
      <w:lvlJc w:val="left"/>
      <w:pPr>
        <w:ind w:left="5704" w:hanging="360"/>
      </w:pPr>
      <w:rPr>
        <w:rFonts w:hint="default"/>
        <w:lang w:val="en-US" w:eastAsia="en-US" w:bidi="ar-SA"/>
      </w:rPr>
    </w:lvl>
    <w:lvl w:ilvl="7" w:tplc="D8B07EF4">
      <w:numFmt w:val="bullet"/>
      <w:lvlText w:val="•"/>
      <w:lvlJc w:val="left"/>
      <w:pPr>
        <w:ind w:left="6673" w:hanging="360"/>
      </w:pPr>
      <w:rPr>
        <w:rFonts w:hint="default"/>
        <w:lang w:val="en-US" w:eastAsia="en-US" w:bidi="ar-SA"/>
      </w:rPr>
    </w:lvl>
    <w:lvl w:ilvl="8" w:tplc="E7403646">
      <w:numFmt w:val="bullet"/>
      <w:lvlText w:val="•"/>
      <w:lvlJc w:val="left"/>
      <w:pPr>
        <w:ind w:left="7642" w:hanging="360"/>
      </w:pPr>
      <w:rPr>
        <w:rFonts w:hint="default"/>
        <w:lang w:val="en-US" w:eastAsia="en-US" w:bidi="ar-SA"/>
      </w:rPr>
    </w:lvl>
  </w:abstractNum>
  <w:abstractNum w:abstractNumId="3" w15:restartNumberingAfterBreak="0">
    <w:nsid w:val="21880D0F"/>
    <w:multiLevelType w:val="hybridMultilevel"/>
    <w:tmpl w:val="36BAF8D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 w15:restartNumberingAfterBreak="0">
    <w:nsid w:val="2B3F48F1"/>
    <w:multiLevelType w:val="hybridMultilevel"/>
    <w:tmpl w:val="1D9E9F6E"/>
    <w:lvl w:ilvl="0" w:tplc="B1F0B248">
      <w:start w:val="1"/>
      <w:numFmt w:val="decimal"/>
      <w:lvlText w:val="%1."/>
      <w:lvlJc w:val="left"/>
      <w:pPr>
        <w:ind w:left="378" w:hanging="279"/>
      </w:pPr>
      <w:rPr>
        <w:rFonts w:ascii="Trebuchet MS" w:eastAsia="Trebuchet MS" w:hAnsi="Trebuchet MS" w:cs="Trebuchet MS" w:hint="default"/>
        <w:b/>
        <w:bCs/>
        <w:w w:val="100"/>
        <w:sz w:val="22"/>
        <w:szCs w:val="22"/>
        <w:lang w:val="en-US" w:eastAsia="en-US" w:bidi="ar-SA"/>
      </w:rPr>
    </w:lvl>
    <w:lvl w:ilvl="1" w:tplc="0BE6BC9A">
      <w:numFmt w:val="bullet"/>
      <w:lvlText w:val=""/>
      <w:lvlJc w:val="left"/>
      <w:pPr>
        <w:ind w:left="820" w:hanging="360"/>
      </w:pPr>
      <w:rPr>
        <w:rFonts w:ascii="Symbol" w:eastAsia="Symbol" w:hAnsi="Symbol" w:cs="Symbol" w:hint="default"/>
        <w:w w:val="100"/>
        <w:sz w:val="22"/>
        <w:szCs w:val="22"/>
        <w:lang w:val="en-US" w:eastAsia="en-US" w:bidi="ar-SA"/>
      </w:rPr>
    </w:lvl>
    <w:lvl w:ilvl="2" w:tplc="00A8731A">
      <w:numFmt w:val="bullet"/>
      <w:lvlText w:val="•"/>
      <w:lvlJc w:val="left"/>
      <w:pPr>
        <w:ind w:left="1793" w:hanging="360"/>
      </w:pPr>
      <w:rPr>
        <w:rFonts w:hint="default"/>
        <w:lang w:val="en-US" w:eastAsia="en-US" w:bidi="ar-SA"/>
      </w:rPr>
    </w:lvl>
    <w:lvl w:ilvl="3" w:tplc="17FA52D4">
      <w:numFmt w:val="bullet"/>
      <w:lvlText w:val="•"/>
      <w:lvlJc w:val="left"/>
      <w:pPr>
        <w:ind w:left="2766" w:hanging="360"/>
      </w:pPr>
      <w:rPr>
        <w:rFonts w:hint="default"/>
        <w:lang w:val="en-US" w:eastAsia="en-US" w:bidi="ar-SA"/>
      </w:rPr>
    </w:lvl>
    <w:lvl w:ilvl="4" w:tplc="13E8F45A">
      <w:numFmt w:val="bullet"/>
      <w:lvlText w:val="•"/>
      <w:lvlJc w:val="left"/>
      <w:pPr>
        <w:ind w:left="3740" w:hanging="360"/>
      </w:pPr>
      <w:rPr>
        <w:rFonts w:hint="default"/>
        <w:lang w:val="en-US" w:eastAsia="en-US" w:bidi="ar-SA"/>
      </w:rPr>
    </w:lvl>
    <w:lvl w:ilvl="5" w:tplc="C21087B2">
      <w:numFmt w:val="bullet"/>
      <w:lvlText w:val="•"/>
      <w:lvlJc w:val="left"/>
      <w:pPr>
        <w:ind w:left="4713" w:hanging="360"/>
      </w:pPr>
      <w:rPr>
        <w:rFonts w:hint="default"/>
        <w:lang w:val="en-US" w:eastAsia="en-US" w:bidi="ar-SA"/>
      </w:rPr>
    </w:lvl>
    <w:lvl w:ilvl="6" w:tplc="2850D9D8">
      <w:numFmt w:val="bullet"/>
      <w:lvlText w:val="•"/>
      <w:lvlJc w:val="left"/>
      <w:pPr>
        <w:ind w:left="5686" w:hanging="360"/>
      </w:pPr>
      <w:rPr>
        <w:rFonts w:hint="default"/>
        <w:lang w:val="en-US" w:eastAsia="en-US" w:bidi="ar-SA"/>
      </w:rPr>
    </w:lvl>
    <w:lvl w:ilvl="7" w:tplc="D7F0B36A">
      <w:numFmt w:val="bullet"/>
      <w:lvlText w:val="•"/>
      <w:lvlJc w:val="left"/>
      <w:pPr>
        <w:ind w:left="6660" w:hanging="360"/>
      </w:pPr>
      <w:rPr>
        <w:rFonts w:hint="default"/>
        <w:lang w:val="en-US" w:eastAsia="en-US" w:bidi="ar-SA"/>
      </w:rPr>
    </w:lvl>
    <w:lvl w:ilvl="8" w:tplc="67E2D69E">
      <w:numFmt w:val="bullet"/>
      <w:lvlText w:val="•"/>
      <w:lvlJc w:val="left"/>
      <w:pPr>
        <w:ind w:left="7633" w:hanging="360"/>
      </w:pPr>
      <w:rPr>
        <w:rFonts w:hint="default"/>
        <w:lang w:val="en-US" w:eastAsia="en-US" w:bidi="ar-SA"/>
      </w:rPr>
    </w:lvl>
  </w:abstractNum>
  <w:abstractNum w:abstractNumId="5" w15:restartNumberingAfterBreak="0">
    <w:nsid w:val="2E97057A"/>
    <w:multiLevelType w:val="hybridMultilevel"/>
    <w:tmpl w:val="1BC82B2C"/>
    <w:lvl w:ilvl="0" w:tplc="CA76AE10">
      <w:start w:val="1"/>
      <w:numFmt w:val="lowerRoman"/>
      <w:lvlText w:val="%1."/>
      <w:lvlJc w:val="left"/>
      <w:pPr>
        <w:ind w:left="820" w:hanging="72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6" w15:restartNumberingAfterBreak="0">
    <w:nsid w:val="4811784F"/>
    <w:multiLevelType w:val="hybridMultilevel"/>
    <w:tmpl w:val="5B94B79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7" w15:restartNumberingAfterBreak="0">
    <w:nsid w:val="53E52E4D"/>
    <w:multiLevelType w:val="hybridMultilevel"/>
    <w:tmpl w:val="10A86B22"/>
    <w:lvl w:ilvl="0" w:tplc="54884F3C">
      <w:start w:val="2"/>
      <w:numFmt w:val="lowerLetter"/>
      <w:lvlText w:val="%1)"/>
      <w:lvlJc w:val="left"/>
      <w:pPr>
        <w:ind w:left="1772" w:hanging="212"/>
      </w:pPr>
      <w:rPr>
        <w:rFonts w:ascii="Trebuchet MS" w:eastAsia="Trebuchet MS" w:hAnsi="Trebuchet MS" w:cs="Trebuchet MS" w:hint="default"/>
        <w:b/>
        <w:bCs/>
        <w:spacing w:val="-2"/>
        <w:w w:val="100"/>
        <w:sz w:val="20"/>
        <w:szCs w:val="20"/>
        <w:lang w:val="en-US" w:eastAsia="en-US" w:bidi="ar-SA"/>
      </w:rPr>
    </w:lvl>
    <w:lvl w:ilvl="1" w:tplc="35322804">
      <w:numFmt w:val="bullet"/>
      <w:lvlText w:val="•"/>
      <w:lvlJc w:val="left"/>
      <w:pPr>
        <w:ind w:left="1246" w:hanging="212"/>
      </w:pPr>
      <w:rPr>
        <w:rFonts w:hint="default"/>
        <w:lang w:val="en-US" w:eastAsia="en-US" w:bidi="ar-SA"/>
      </w:rPr>
    </w:lvl>
    <w:lvl w:ilvl="2" w:tplc="6E44C912">
      <w:numFmt w:val="bullet"/>
      <w:lvlText w:val="•"/>
      <w:lvlJc w:val="left"/>
      <w:pPr>
        <w:ind w:left="2172" w:hanging="212"/>
      </w:pPr>
      <w:rPr>
        <w:rFonts w:hint="default"/>
        <w:lang w:val="en-US" w:eastAsia="en-US" w:bidi="ar-SA"/>
      </w:rPr>
    </w:lvl>
    <w:lvl w:ilvl="3" w:tplc="4A6205BA">
      <w:numFmt w:val="bullet"/>
      <w:lvlText w:val="•"/>
      <w:lvlJc w:val="left"/>
      <w:pPr>
        <w:ind w:left="3098" w:hanging="212"/>
      </w:pPr>
      <w:rPr>
        <w:rFonts w:hint="default"/>
        <w:lang w:val="en-US" w:eastAsia="en-US" w:bidi="ar-SA"/>
      </w:rPr>
    </w:lvl>
    <w:lvl w:ilvl="4" w:tplc="F4423190">
      <w:numFmt w:val="bullet"/>
      <w:lvlText w:val="•"/>
      <w:lvlJc w:val="left"/>
      <w:pPr>
        <w:ind w:left="4024" w:hanging="212"/>
      </w:pPr>
      <w:rPr>
        <w:rFonts w:hint="default"/>
        <w:lang w:val="en-US" w:eastAsia="en-US" w:bidi="ar-SA"/>
      </w:rPr>
    </w:lvl>
    <w:lvl w:ilvl="5" w:tplc="BE78740A">
      <w:numFmt w:val="bullet"/>
      <w:lvlText w:val="•"/>
      <w:lvlJc w:val="left"/>
      <w:pPr>
        <w:ind w:left="4950" w:hanging="212"/>
      </w:pPr>
      <w:rPr>
        <w:rFonts w:hint="default"/>
        <w:lang w:val="en-US" w:eastAsia="en-US" w:bidi="ar-SA"/>
      </w:rPr>
    </w:lvl>
    <w:lvl w:ilvl="6" w:tplc="39FE33BC">
      <w:numFmt w:val="bullet"/>
      <w:lvlText w:val="•"/>
      <w:lvlJc w:val="left"/>
      <w:pPr>
        <w:ind w:left="5876" w:hanging="212"/>
      </w:pPr>
      <w:rPr>
        <w:rFonts w:hint="default"/>
        <w:lang w:val="en-US" w:eastAsia="en-US" w:bidi="ar-SA"/>
      </w:rPr>
    </w:lvl>
    <w:lvl w:ilvl="7" w:tplc="04C41FB4">
      <w:numFmt w:val="bullet"/>
      <w:lvlText w:val="•"/>
      <w:lvlJc w:val="left"/>
      <w:pPr>
        <w:ind w:left="6802" w:hanging="212"/>
      </w:pPr>
      <w:rPr>
        <w:rFonts w:hint="default"/>
        <w:lang w:val="en-US" w:eastAsia="en-US" w:bidi="ar-SA"/>
      </w:rPr>
    </w:lvl>
    <w:lvl w:ilvl="8" w:tplc="A7FC0CAA">
      <w:numFmt w:val="bullet"/>
      <w:lvlText w:val="•"/>
      <w:lvlJc w:val="left"/>
      <w:pPr>
        <w:ind w:left="7728" w:hanging="212"/>
      </w:pPr>
      <w:rPr>
        <w:rFonts w:hint="default"/>
        <w:lang w:val="en-US" w:eastAsia="en-US" w:bidi="ar-SA"/>
      </w:rPr>
    </w:lvl>
  </w:abstractNum>
  <w:abstractNum w:abstractNumId="8" w15:restartNumberingAfterBreak="0">
    <w:nsid w:val="67050630"/>
    <w:multiLevelType w:val="hybridMultilevel"/>
    <w:tmpl w:val="B87CFCAE"/>
    <w:lvl w:ilvl="0" w:tplc="ED48873E">
      <w:start w:val="1"/>
      <w:numFmt w:val="lowerLetter"/>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9" w15:restartNumberingAfterBreak="0">
    <w:nsid w:val="67C11CA4"/>
    <w:multiLevelType w:val="hybridMultilevel"/>
    <w:tmpl w:val="FB3CC7D2"/>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0" w15:restartNumberingAfterBreak="0">
    <w:nsid w:val="74326B81"/>
    <w:multiLevelType w:val="hybridMultilevel"/>
    <w:tmpl w:val="DE5E8174"/>
    <w:lvl w:ilvl="0" w:tplc="FD8EC352">
      <w:start w:val="1"/>
      <w:numFmt w:val="lowerRoman"/>
      <w:lvlText w:val="(%1)"/>
      <w:lvlJc w:val="left"/>
      <w:pPr>
        <w:ind w:left="928" w:hanging="360"/>
      </w:pPr>
      <w:rPr>
        <w:rFonts w:ascii="Arial" w:eastAsia="Arial" w:hAnsi="Arial" w:hint="default"/>
        <w:spacing w:val="1"/>
        <w:w w:val="103"/>
        <w:sz w:val="20"/>
        <w:szCs w:val="2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1" w15:restartNumberingAfterBreak="0">
    <w:nsid w:val="79492939"/>
    <w:multiLevelType w:val="hybridMultilevel"/>
    <w:tmpl w:val="63C4E606"/>
    <w:lvl w:ilvl="0" w:tplc="40090011">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num w:numId="1">
    <w:abstractNumId w:val="2"/>
  </w:num>
  <w:num w:numId="2">
    <w:abstractNumId w:val="7"/>
  </w:num>
  <w:num w:numId="3">
    <w:abstractNumId w:val="4"/>
  </w:num>
  <w:num w:numId="4">
    <w:abstractNumId w:val="5"/>
  </w:num>
  <w:num w:numId="5">
    <w:abstractNumId w:val="6"/>
  </w:num>
  <w:num w:numId="6">
    <w:abstractNumId w:val="8"/>
  </w:num>
  <w:num w:numId="7">
    <w:abstractNumId w:val="10"/>
  </w:num>
  <w:num w:numId="8">
    <w:abstractNumId w:val="11"/>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B62B8E"/>
    <w:rsid w:val="000E255C"/>
    <w:rsid w:val="001D7A7C"/>
    <w:rsid w:val="00297381"/>
    <w:rsid w:val="003D6D91"/>
    <w:rsid w:val="00501945"/>
    <w:rsid w:val="00653F13"/>
    <w:rsid w:val="006947B8"/>
    <w:rsid w:val="006C04C3"/>
    <w:rsid w:val="00743A9B"/>
    <w:rsid w:val="007E1B53"/>
    <w:rsid w:val="00880198"/>
    <w:rsid w:val="00A22A0F"/>
    <w:rsid w:val="00A9451F"/>
    <w:rsid w:val="00B13F01"/>
    <w:rsid w:val="00B43E32"/>
    <w:rsid w:val="00B62B8E"/>
    <w:rsid w:val="00C05DF0"/>
    <w:rsid w:val="00D343DA"/>
    <w:rsid w:val="00F7520B"/>
    <w:rsid w:val="00F958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A950"/>
  <w15:docId w15:val="{690CA221-4590-4D58-887E-68E766C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2B8E"/>
    <w:rPr>
      <w:rFonts w:ascii="Trebuchet MS" w:eastAsia="Trebuchet MS" w:hAnsi="Trebuchet MS" w:cs="Trebuchet MS"/>
    </w:rPr>
  </w:style>
  <w:style w:type="paragraph" w:styleId="Heading1">
    <w:name w:val="heading 1"/>
    <w:basedOn w:val="Normal"/>
    <w:uiPriority w:val="1"/>
    <w:qFormat/>
    <w:rsid w:val="00B62B8E"/>
    <w:pPr>
      <w:spacing w:before="212"/>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2B8E"/>
    <w:pPr>
      <w:ind w:left="100"/>
      <w:jc w:val="both"/>
    </w:pPr>
  </w:style>
  <w:style w:type="paragraph" w:styleId="ListParagraph">
    <w:name w:val="List Paragraph"/>
    <w:basedOn w:val="Normal"/>
    <w:uiPriority w:val="1"/>
    <w:qFormat/>
    <w:rsid w:val="00B62B8E"/>
    <w:pPr>
      <w:ind w:left="851" w:hanging="360"/>
      <w:jc w:val="both"/>
    </w:pPr>
  </w:style>
  <w:style w:type="paragraph" w:customStyle="1" w:styleId="TableParagraph">
    <w:name w:val="Table Paragraph"/>
    <w:basedOn w:val="Normal"/>
    <w:uiPriority w:val="1"/>
    <w:qFormat/>
    <w:rsid w:val="00B6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235</cp:lastModifiedBy>
  <cp:revision>9</cp:revision>
  <dcterms:created xsi:type="dcterms:W3CDTF">2022-03-11T15:31:00Z</dcterms:created>
  <dcterms:modified xsi:type="dcterms:W3CDTF">2022-04-15T10:53:00Z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Word 2016</vt:lpwstr>
  </property>
  <property fmtid="{D5CDD505-2E9C-101B-9397-08002B2CF9AE}" pid="4" name="LastSaved">
    <vt:filetime>2022-03-11T00:00:00Z</vt:filetime>
  </property>
</Properties>
</file>