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DA" w:rsidRPr="00AF3B9B" w:rsidRDefault="00963CDA" w:rsidP="00203240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:rsidR="00963CDA" w:rsidRPr="00662A42" w:rsidRDefault="00963CDA" w:rsidP="00077FB5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9"/>
        <w:gridCol w:w="2040"/>
        <w:gridCol w:w="4937"/>
      </w:tblGrid>
      <w:tr w:rsidR="00963CDA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1A5E54" w:rsidRDefault="001A5E54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</w:p>
          <w:p w:rsidR="00963CDA" w:rsidRPr="002B4292" w:rsidRDefault="00FE40F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P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 xml:space="preserve">inot </w:t>
            </w: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B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ianco</w:t>
            </w:r>
          </w:p>
          <w:p w:rsidR="00963CDA" w:rsidRPr="00FA7A28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Ticino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Denominazione di origine Controllata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C00000"/>
                <w:sz w:val="28"/>
                <w:szCs w:val="28"/>
              </w:rPr>
            </w:pPr>
          </w:p>
          <w:p w:rsidR="00077FB5" w:rsidRPr="00203240" w:rsidRDefault="00077F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984806" w:themeColor="accent6" w:themeShade="80"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  <w:r w:rsidRPr="00B412B5">
              <w:rPr>
                <w:rFonts w:ascii="Book Antiqua" w:hAnsi="Book Antiqua"/>
                <w:i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44450</wp:posOffset>
                  </wp:positionV>
                  <wp:extent cx="2324100" cy="3051810"/>
                  <wp:effectExtent l="0" t="0" r="0" b="0"/>
                  <wp:wrapSquare wrapText="bothSides"/>
                  <wp:docPr id="2" name="Immagine 2" descr="C:\Users\User\Documents\Grafica e immagini\Immagini Etichette\Pinot Bianco Anf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Grafica e immagini\Immagini Etichette\Pinot Bianco Anf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5D508E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</w:tc>
      </w:tr>
      <w:tr w:rsidR="00B412B5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412B5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noProof/>
                <w:lang w:val="it-IT" w:eastAsia="it-IT"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Prove</w:t>
            </w:r>
            <w:r w:rsidR="00FE40F7">
              <w:rPr>
                <w:rFonts w:ascii="Book Antiqua" w:hAnsi="Book Antiqua"/>
                <w:b/>
                <w:i/>
              </w:rPr>
              <w:t>nance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894AB3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>Tenimento dell’Ör</w:t>
            </w:r>
            <w:r w:rsidR="00077FB5">
              <w:rPr>
                <w:rFonts w:ascii="Book Antiqua" w:hAnsi="Book Antiqua"/>
                <w:i/>
              </w:rPr>
              <w:t xml:space="preserve"> </w:t>
            </w:r>
            <w:r w:rsidR="00FE40F7">
              <w:rPr>
                <w:rFonts w:ascii="Book Antiqua" w:hAnsi="Book Antiqua"/>
                <w:i/>
              </w:rPr>
              <w:t>à Arzo</w:t>
            </w:r>
          </w:p>
          <w:p w:rsidR="00077FB5" w:rsidRPr="00662A42" w:rsidRDefault="00077FB5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FE40F7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Cépage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41448E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Pinot </w:t>
            </w:r>
            <w:r w:rsidR="00FE40F7">
              <w:rPr>
                <w:rFonts w:ascii="Book Antiqua" w:hAnsi="Book Antiqua"/>
                <w:i/>
              </w:rPr>
              <w:t>blanc</w:t>
            </w:r>
          </w:p>
          <w:p w:rsidR="00894AB3" w:rsidRPr="00662A42" w:rsidRDefault="00894AB3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C</w:t>
            </w:r>
            <w:r w:rsidR="00FE40F7">
              <w:rPr>
                <w:rFonts w:ascii="Book Antiqua" w:hAnsi="Book Antiqua"/>
                <w:b/>
                <w:i/>
              </w:rPr>
              <w:t>ouleur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AB3" w:rsidRPr="00662A42" w:rsidRDefault="00FE40F7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Jaune paille avec des reflets verdâtres</w:t>
            </w:r>
          </w:p>
          <w:p w:rsidR="00963CDA" w:rsidRPr="00662A42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963CDA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P</w:t>
            </w:r>
            <w:r w:rsidR="00FE40F7">
              <w:rPr>
                <w:rFonts w:ascii="Book Antiqua" w:hAnsi="Book Antiqua"/>
                <w:b/>
                <w:i/>
              </w:rPr>
              <w:t>arfum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5" w:rsidRDefault="002B042D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2B042D">
              <w:rPr>
                <w:rFonts w:ascii="Book Antiqua" w:hAnsi="Book Antiqua"/>
                <w:i/>
              </w:rPr>
              <w:t>Très fin et discret avec une minéralité marquée accompagnée de notes fruitées élégantes.</w:t>
            </w:r>
          </w:p>
          <w:p w:rsidR="002B042D" w:rsidRPr="00662A42" w:rsidRDefault="002B042D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E40F7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Goût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Default="002B042D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2B042D">
              <w:rPr>
                <w:rFonts w:ascii="Book Antiqua" w:hAnsi="Book Antiqua"/>
                <w:i/>
              </w:rPr>
              <w:t>Long et persistant, avec un caractère vif et nerveux grâce à une acidité bien présente et une excellente complexité aromatique.</w:t>
            </w:r>
          </w:p>
          <w:p w:rsidR="002B042D" w:rsidRPr="00662A42" w:rsidRDefault="002B042D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E40F7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Viellissement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41448E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4/5</w:t>
            </w:r>
            <w:r w:rsidR="00B17B66" w:rsidRPr="00662A42">
              <w:rPr>
                <w:rFonts w:ascii="Book Antiqua" w:hAnsi="Book Antiqua"/>
                <w:i/>
              </w:rPr>
              <w:t xml:space="preserve"> </w:t>
            </w:r>
            <w:r w:rsidR="002B042D">
              <w:rPr>
                <w:rFonts w:ascii="Book Antiqua" w:hAnsi="Book Antiqua"/>
                <w:i/>
              </w:rPr>
              <w:t>ans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E40F7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Teneur en alcool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077FB5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13</w:t>
            </w:r>
            <w:r w:rsidR="00B17B66" w:rsidRPr="00662A42">
              <w:rPr>
                <w:rFonts w:ascii="Book Antiqua" w:hAnsi="Book Antiqua"/>
                <w:i/>
              </w:rPr>
              <w:t xml:space="preserve"> Vol.%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Vinific</w:t>
            </w:r>
            <w:r w:rsidR="00FE40F7">
              <w:rPr>
                <w:rFonts w:ascii="Book Antiqua" w:hAnsi="Book Antiqua"/>
                <w:b/>
                <w:i/>
              </w:rPr>
              <w:t>ation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BEF" w:rsidRDefault="002B042D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2B042D">
              <w:rPr>
                <w:rFonts w:ascii="Book Antiqua" w:hAnsi="Book Antiqua"/>
                <w:i/>
              </w:rPr>
              <w:t>Pressurage doux suivi d'une fermentation et d'un vieillissement de 11 mois dans des amphores Cocciopesto d'une capacité de 1000 litres. R</w:t>
            </w:r>
            <w:r>
              <w:rPr>
                <w:rFonts w:ascii="Book Antiqua" w:hAnsi="Book Antiqua"/>
                <w:i/>
              </w:rPr>
              <w:t>emontage</w:t>
            </w:r>
            <w:r w:rsidRPr="002B042D">
              <w:rPr>
                <w:rFonts w:ascii="Book Antiqua" w:hAnsi="Book Antiqua"/>
                <w:i/>
              </w:rPr>
              <w:t xml:space="preserve"> régulière des levures par la technique du bâtonnage.</w:t>
            </w:r>
          </w:p>
          <w:p w:rsidR="002B042D" w:rsidRPr="00662A42" w:rsidRDefault="002B042D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E40F7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Température de service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F74" w:rsidRDefault="002B042D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2B042D">
              <w:rPr>
                <w:rFonts w:ascii="Book Antiqua" w:hAnsi="Book Antiqua"/>
                <w:i/>
              </w:rPr>
              <w:t>Il est conseillé de ne pas servir à des températures inférieures à 10°C pour avoir une bonne expression aromatique.</w:t>
            </w:r>
          </w:p>
          <w:p w:rsidR="002B042D" w:rsidRPr="00662A42" w:rsidRDefault="002B042D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25BB6" w:rsidRPr="00662A42" w:rsidRDefault="00E15F74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Accompagn</w:t>
            </w:r>
            <w:r w:rsidR="00FE40F7">
              <w:rPr>
                <w:rFonts w:ascii="Book Antiqua" w:hAnsi="Book Antiqua"/>
                <w:b/>
                <w:i/>
              </w:rPr>
              <w:t>ement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2B042D" w:rsidP="0041448E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2B042D">
              <w:rPr>
                <w:rFonts w:ascii="Book Antiqua" w:hAnsi="Book Antiqua"/>
                <w:i/>
              </w:rPr>
              <w:t>Poissons d'eau douce, viandes blanches et fromages.</w:t>
            </w:r>
          </w:p>
        </w:tc>
      </w:tr>
    </w:tbl>
    <w:p w:rsidR="00060AB1" w:rsidRDefault="00060AB1"/>
    <w:sectPr w:rsidR="00060AB1" w:rsidSect="00E53281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28" w:rsidRDefault="00185C28">
      <w:pPr>
        <w:spacing w:line="240" w:lineRule="auto"/>
      </w:pPr>
      <w:r>
        <w:separator/>
      </w:r>
    </w:p>
  </w:endnote>
  <w:endnote w:type="continuationSeparator" w:id="0">
    <w:p w:rsidR="00185C28" w:rsidRDefault="0018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riloro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28" w:rsidRDefault="00185C28">
      <w:pPr>
        <w:spacing w:line="240" w:lineRule="auto"/>
      </w:pPr>
      <w:r>
        <w:separator/>
      </w:r>
    </w:p>
  </w:footnote>
  <w:footnote w:type="continuationSeparator" w:id="0">
    <w:p w:rsidR="00185C28" w:rsidRDefault="00185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42" w:rsidRDefault="00662A42">
    <w:pPr>
      <w:pStyle w:val="En-tte"/>
    </w:pPr>
    <w:r w:rsidRPr="00662A4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-355600</wp:posOffset>
          </wp:positionV>
          <wp:extent cx="1936800" cy="579600"/>
          <wp:effectExtent l="0" t="0" r="6350" b="0"/>
          <wp:wrapSquare wrapText="bothSides"/>
          <wp:docPr id="1" name="Immagine 1" descr="C:\Users\User\Desktop\agrilo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rilo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A"/>
    <w:rsid w:val="000137D0"/>
    <w:rsid w:val="00060AB1"/>
    <w:rsid w:val="00077FB5"/>
    <w:rsid w:val="00081F63"/>
    <w:rsid w:val="0011638C"/>
    <w:rsid w:val="0012364F"/>
    <w:rsid w:val="0013506D"/>
    <w:rsid w:val="00163B0C"/>
    <w:rsid w:val="00185C28"/>
    <w:rsid w:val="001A5E54"/>
    <w:rsid w:val="001C6DF8"/>
    <w:rsid w:val="001D2019"/>
    <w:rsid w:val="00201831"/>
    <w:rsid w:val="00203240"/>
    <w:rsid w:val="00285A62"/>
    <w:rsid w:val="002B042D"/>
    <w:rsid w:val="002B4292"/>
    <w:rsid w:val="002E6DF3"/>
    <w:rsid w:val="003F7432"/>
    <w:rsid w:val="00402B53"/>
    <w:rsid w:val="0041448E"/>
    <w:rsid w:val="00454679"/>
    <w:rsid w:val="004E1641"/>
    <w:rsid w:val="004F78DF"/>
    <w:rsid w:val="005141EA"/>
    <w:rsid w:val="00526536"/>
    <w:rsid w:val="005338D4"/>
    <w:rsid w:val="005A5298"/>
    <w:rsid w:val="005B1796"/>
    <w:rsid w:val="005B4AEF"/>
    <w:rsid w:val="005D508E"/>
    <w:rsid w:val="00662A42"/>
    <w:rsid w:val="0068026A"/>
    <w:rsid w:val="006C5A2E"/>
    <w:rsid w:val="006E03F2"/>
    <w:rsid w:val="006F392E"/>
    <w:rsid w:val="006F64E4"/>
    <w:rsid w:val="00793D4D"/>
    <w:rsid w:val="007D48D4"/>
    <w:rsid w:val="007D5CBD"/>
    <w:rsid w:val="008878CE"/>
    <w:rsid w:val="00894AB3"/>
    <w:rsid w:val="009069D5"/>
    <w:rsid w:val="00963CDA"/>
    <w:rsid w:val="00970B14"/>
    <w:rsid w:val="009E0958"/>
    <w:rsid w:val="009E1A42"/>
    <w:rsid w:val="009F5257"/>
    <w:rsid w:val="00A40205"/>
    <w:rsid w:val="00A40658"/>
    <w:rsid w:val="00A50001"/>
    <w:rsid w:val="00A92C4F"/>
    <w:rsid w:val="00AF316B"/>
    <w:rsid w:val="00AF3B9B"/>
    <w:rsid w:val="00B17B66"/>
    <w:rsid w:val="00B412B5"/>
    <w:rsid w:val="00B527E8"/>
    <w:rsid w:val="00B5676B"/>
    <w:rsid w:val="00B632D8"/>
    <w:rsid w:val="00B66B57"/>
    <w:rsid w:val="00DB1797"/>
    <w:rsid w:val="00DF4396"/>
    <w:rsid w:val="00E15F74"/>
    <w:rsid w:val="00EF2BEF"/>
    <w:rsid w:val="00F25BB6"/>
    <w:rsid w:val="00F64593"/>
    <w:rsid w:val="00FE40F7"/>
    <w:rsid w:val="00FE5CC2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DF3B"/>
  <w15:docId w15:val="{729D7EC7-CE30-4186-8BF4-D4F54F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A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CDA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CDA"/>
  </w:style>
  <w:style w:type="table" w:styleId="Grilledutableau">
    <w:name w:val="Table Grid"/>
    <w:basedOn w:val="TableauNormal"/>
    <w:uiPriority w:val="59"/>
    <w:rsid w:val="00963C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D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F64E4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Jérôme Perler</cp:lastModifiedBy>
  <cp:revision>7</cp:revision>
  <dcterms:created xsi:type="dcterms:W3CDTF">2020-03-19T15:43:00Z</dcterms:created>
  <dcterms:modified xsi:type="dcterms:W3CDTF">2020-03-21T12:28:00Z</dcterms:modified>
</cp:coreProperties>
</file>