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C5" w:rsidRDefault="002118C5">
      <w:pPr>
        <w:spacing w:line="360" w:lineRule="auto"/>
        <w:jc w:val="both"/>
        <w:rPr>
          <w:b/>
          <w:lang w:val="it-IT"/>
        </w:rPr>
      </w:pPr>
    </w:p>
    <w:p w:rsidR="002118C5" w:rsidRDefault="006437B3">
      <w:pPr>
        <w:spacing w:line="360" w:lineRule="auto"/>
        <w:jc w:val="both"/>
        <w:rPr>
          <w:b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113030</wp:posOffset>
                </wp:positionV>
                <wp:extent cx="2581275" cy="1369060"/>
                <wp:effectExtent l="0" t="0" r="17145" b="13335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480" cy="136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18C5" w:rsidRDefault="006437B3">
                            <w:pPr>
                              <w:pStyle w:val="Contenutocornice"/>
                              <w:spacing w:line="360" w:lineRule="au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Alla Presidente SIML</w:t>
                            </w:r>
                          </w:p>
                          <w:p w:rsidR="002118C5" w:rsidRDefault="006437B3">
                            <w:pPr>
                              <w:pStyle w:val="Contenutocornice"/>
                              <w:spacing w:line="360" w:lineRule="au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Professoressa Giovanna Spatari</w:t>
                            </w:r>
                          </w:p>
                          <w:p w:rsidR="002118C5" w:rsidRDefault="006437B3">
                            <w:pPr>
                              <w:pStyle w:val="Contenutocornice"/>
                              <w:spacing w:line="360" w:lineRule="au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 all’Ufficio di Presidenza SIML</w:t>
                            </w:r>
                          </w:p>
                          <w:p w:rsidR="002118C5" w:rsidRDefault="002118C5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sella di testo 2" fillcolor="white" stroked="t" style="position:absolute;margin-left:304.7pt;margin-top:8.9pt;width:203.15pt;height:107.7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tocornice"/>
                        <w:spacing w:lineRule="auto" w:line="360"/>
                        <w:rPr>
                          <w:lang w:val="it-IT"/>
                        </w:rPr>
                      </w:pPr>
                      <w:r>
                        <w:rPr>
                          <w:color w:val="auto"/>
                          <w:lang w:val="it-IT"/>
                        </w:rPr>
                        <w:t>Alla Presidente SIML</w:t>
                      </w:r>
                    </w:p>
                    <w:p>
                      <w:pPr>
                        <w:pStyle w:val="Contenutocornice"/>
                        <w:spacing w:lineRule="auto" w:line="360"/>
                        <w:rPr>
                          <w:lang w:val="it-IT"/>
                        </w:rPr>
                      </w:pPr>
                      <w:r>
                        <w:rPr>
                          <w:color w:val="auto"/>
                          <w:lang w:val="it-IT"/>
                        </w:rPr>
                        <w:t>Professoressa Giovanna Spatari</w:t>
                      </w:r>
                    </w:p>
                    <w:p>
                      <w:pPr>
                        <w:pStyle w:val="Contenutocornice"/>
                        <w:spacing w:lineRule="auto" w:line="360"/>
                        <w:rPr>
                          <w:lang w:val="it-IT"/>
                        </w:rPr>
                      </w:pPr>
                      <w:r>
                        <w:rPr>
                          <w:color w:val="auto"/>
                          <w:lang w:val="it-IT"/>
                        </w:rPr>
                        <w:t>e all’Ufficio di Presidenza SIML</w:t>
                      </w:r>
                    </w:p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2118C5" w:rsidRDefault="002118C5">
      <w:pPr>
        <w:spacing w:line="360" w:lineRule="auto"/>
        <w:jc w:val="both"/>
        <w:rPr>
          <w:b/>
          <w:lang w:val="it-IT"/>
        </w:rPr>
      </w:pPr>
    </w:p>
    <w:p w:rsidR="002118C5" w:rsidRDefault="002118C5">
      <w:pPr>
        <w:spacing w:line="360" w:lineRule="auto"/>
        <w:jc w:val="both"/>
        <w:rPr>
          <w:b/>
          <w:lang w:val="it-IT"/>
        </w:rPr>
      </w:pPr>
    </w:p>
    <w:p w:rsidR="002118C5" w:rsidRDefault="002118C5">
      <w:pPr>
        <w:spacing w:line="360" w:lineRule="auto"/>
        <w:jc w:val="both"/>
        <w:rPr>
          <w:b/>
          <w:lang w:val="it-IT"/>
        </w:rPr>
      </w:pPr>
    </w:p>
    <w:p w:rsidR="002118C5" w:rsidRDefault="002118C5">
      <w:pPr>
        <w:spacing w:line="360" w:lineRule="auto"/>
        <w:jc w:val="both"/>
        <w:rPr>
          <w:b/>
          <w:lang w:val="it-IT"/>
        </w:rPr>
      </w:pPr>
    </w:p>
    <w:p w:rsidR="002118C5" w:rsidRDefault="002118C5">
      <w:pPr>
        <w:spacing w:line="360" w:lineRule="auto"/>
        <w:jc w:val="both"/>
        <w:rPr>
          <w:b/>
          <w:lang w:val="it-IT"/>
        </w:rPr>
      </w:pPr>
    </w:p>
    <w:p w:rsidR="002118C5" w:rsidRDefault="006437B3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OGGETTO: PROPOSTA DI MANDATO COMMISSIONE PERMANENTE MEDICI DELLA SANITA’ </w:t>
      </w:r>
    </w:p>
    <w:p w:rsidR="002118C5" w:rsidRDefault="002118C5">
      <w:pPr>
        <w:spacing w:line="360" w:lineRule="auto"/>
        <w:jc w:val="both"/>
        <w:rPr>
          <w:b/>
          <w:lang w:val="it-IT"/>
        </w:rPr>
      </w:pPr>
    </w:p>
    <w:p w:rsidR="002118C5" w:rsidRDefault="002118C5">
      <w:pPr>
        <w:spacing w:line="360" w:lineRule="auto"/>
        <w:jc w:val="both"/>
        <w:rPr>
          <w:b/>
          <w:lang w:val="it-IT"/>
        </w:rPr>
      </w:pP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Il settore sanitario è storicamente di grande interesse per i medici del lavoro </w:t>
      </w:r>
      <w:r>
        <w:rPr>
          <w:lang w:val="it-IT"/>
        </w:rPr>
        <w:t>italiani e per la Società Italiana di Medicina del Lavoro, che li rappresenta. Difatti numerosi sono i soci SIML che operano in qualità di medici competenti in questo settore lavorativo.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Nel 2007 l’Associazione di Medicina Preventiva dei Lavoratori della S</w:t>
      </w:r>
      <w:r>
        <w:rPr>
          <w:lang w:val="it-IT"/>
        </w:rPr>
        <w:t>anità, fondata nel 1991, è confluita all’interno della allora SIMLII divenendo Sezione Tematica. Numerose sono state negli anni le iniziative congressuali e la produzione documentale sulle tematiche preventive inerenti i lavoratori del settore sanitario, c</w:t>
      </w:r>
      <w:r>
        <w:rPr>
          <w:lang w:val="it-IT"/>
        </w:rPr>
        <w:t>he presentano evidenti peculiarità rispetto agli altri settori lavorativi.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Nel frattempo altri Enti hanno lavorato sul tema della prevenzione in ambito sanitario, ricordiamo ad esempio lo studio del 2015 CERGAS Bocconi nonché numerose Linee d’Indirizzo del</w:t>
      </w:r>
      <w:r>
        <w:rPr>
          <w:lang w:val="it-IT"/>
        </w:rPr>
        <w:t>iberate da diverse Regioni italiane su proposta di Coordinamenti Regionali di Medici Competenti delle Aziende Sanitarie.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La costituenda Commissione Permanente dei Medici della Sanità ha lo scopo di indirizzare e omogeneizzare il più possibile, favorendo il</w:t>
      </w:r>
      <w:r>
        <w:rPr>
          <w:lang w:val="it-IT"/>
        </w:rPr>
        <w:t xml:space="preserve"> confronto fra i professionisti e implementando la ricerca di soluzioni innovative,  le attività dei medici del lavoro SIML che operano nel settore sanità sia all’interno di strutture pubbliche che private e inquadrati con le diverse tipologie contrattuali</w:t>
      </w:r>
      <w:r>
        <w:rPr>
          <w:lang w:val="it-IT"/>
        </w:rPr>
        <w:t xml:space="preserve"> (medici universitari, ospedalieri, convenzionati, liberi professionisti). </w:t>
      </w:r>
    </w:p>
    <w:p w:rsidR="002118C5" w:rsidRDefault="002118C5">
      <w:pPr>
        <w:spacing w:line="360" w:lineRule="auto"/>
        <w:jc w:val="both"/>
        <w:rPr>
          <w:lang w:val="it-IT"/>
        </w:rPr>
      </w:pP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Essa opererà in accordo con le indicazioni operative del Consiglio Direttivo e condividerà le proprie elaborazioni con tutte le altre articolazioni societarie, secondo gli specifi</w:t>
      </w:r>
      <w:r>
        <w:rPr>
          <w:lang w:val="it-IT"/>
        </w:rPr>
        <w:t>ci ambiti di interesse.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lastRenderedPageBreak/>
        <w:t xml:space="preserve">Dato il sovrapporsi di numerose tematiche di interesse comune, la costituenda Commissione opererà in stretta collaborazione con la Commissione sull’attività professionale dei medici competenti. 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Vista l’importanza della pubblicazion</w:t>
      </w:r>
      <w:r>
        <w:rPr>
          <w:lang w:val="it-IT"/>
        </w:rPr>
        <w:t>e di Linee Guida secondo le indicazioni del Sistema Nazionale Linee Guida istituito presso l’ISS, si ritiene opportuno garantire la sinergia di intenti e di lavoro con la Commissione Linee Guida.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 Commissione potrà inoltre avvalersi della collaborazione </w:t>
      </w:r>
      <w:r>
        <w:rPr>
          <w:lang w:val="it-IT"/>
        </w:rPr>
        <w:t>temporanea -  in considerazione dell’esperienza e della competenza specifica - di altri Soci, come anche di esperti di altre associazioni o altre discipline, individuati in accordo con il Consiglio Direttivo.</w:t>
      </w:r>
    </w:p>
    <w:p w:rsidR="002118C5" w:rsidRDefault="002118C5">
      <w:pPr>
        <w:spacing w:line="360" w:lineRule="auto"/>
        <w:jc w:val="both"/>
        <w:rPr>
          <w:lang w:val="it-IT"/>
        </w:rPr>
      </w:pP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u w:val="single"/>
          <w:lang w:val="it-IT"/>
        </w:rPr>
        <w:t xml:space="preserve">La Commissione si prefigge i seguenti compiti </w:t>
      </w:r>
      <w:r>
        <w:rPr>
          <w:u w:val="single"/>
          <w:lang w:val="it-IT"/>
        </w:rPr>
        <w:t>principali</w:t>
      </w:r>
      <w:r>
        <w:rPr>
          <w:lang w:val="it-IT"/>
        </w:rPr>
        <w:t>:</w:t>
      </w:r>
    </w:p>
    <w:p w:rsidR="002118C5" w:rsidRDefault="002118C5">
      <w:pPr>
        <w:spacing w:line="360" w:lineRule="auto"/>
        <w:jc w:val="both"/>
        <w:rPr>
          <w:lang w:val="it-IT"/>
        </w:rPr>
      </w:pP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1) Predisposizione di una rete di medici competenti che operano nel settore sanità, che raccolgano e rielaborino i dati derivati dall’attività di sorveglianza sanitaria, secondo il Protocollo d’intesa sottoscritto da SIML e Ministero della </w:t>
      </w:r>
      <w:r>
        <w:rPr>
          <w:lang w:val="it-IT"/>
        </w:rPr>
        <w:t>Salute, che identifica nella creazione di reti di Medici del Lavoro uno degli strumenti fondamentali per orientare le politiche di prevenzione negli ambienti di lavoro e di vita. Tale attività sarà svolta in stretta sinergia con la Presidenza ed il Consigl</w:t>
      </w:r>
      <w:r>
        <w:rPr>
          <w:lang w:val="it-IT"/>
        </w:rPr>
        <w:t>io Direttivo Nazionale SIML.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2) Individuazione di temi specifici del settore sanitario  da suggerire alla Commissione Linee Guida o al Consiglio Direttivo da sviluppare mediante la redazione di strumenti di orientamento dedicati all’attività professionale</w:t>
      </w:r>
      <w:r>
        <w:rPr>
          <w:lang w:val="it-IT"/>
        </w:rPr>
        <w:t>, quali linee guida e/o documenti di consenso su protocolli sanitari, idoneità, misure preventive. Si potrà richiedere di volta in volta la partecipazione di ulteriori esperti del settore di interesse, anche attraverso la collaborazione con i Gruppi di Coo</w:t>
      </w:r>
      <w:r>
        <w:rPr>
          <w:lang w:val="it-IT"/>
        </w:rPr>
        <w:t>rdinamento Regionali</w:t>
      </w:r>
      <w:bookmarkStart w:id="0" w:name="_GoBack"/>
      <w:bookmarkEnd w:id="0"/>
      <w:r>
        <w:rPr>
          <w:lang w:val="it-IT"/>
        </w:rPr>
        <w:t xml:space="preserve"> dei Medici Competenti delle Aziende Sanitarie.</w:t>
      </w:r>
    </w:p>
    <w:p w:rsidR="002118C5" w:rsidRDefault="006437B3">
      <w:pPr>
        <w:spacing w:line="360" w:lineRule="auto"/>
        <w:jc w:val="both"/>
      </w:pPr>
      <w:r>
        <w:rPr>
          <w:lang w:val="it-IT"/>
        </w:rPr>
        <w:t>3) Organizzazione di attività di sostegno scientifico e formativo dedicate ai medici del lavoro ed ai medici competenti che operano nel settore sanità, quali eventi nazionali e locali, org</w:t>
      </w:r>
      <w:r>
        <w:rPr>
          <w:lang w:val="it-IT"/>
        </w:rPr>
        <w:t xml:space="preserve">anizzati con il sostegno di SIML Nazionale e delle </w:t>
      </w:r>
      <w:r w:rsidRPr="00390605">
        <w:rPr>
          <w:lang w:val="it-IT"/>
        </w:rPr>
        <w:t>Sezioni</w:t>
      </w:r>
      <w:r>
        <w:rPr>
          <w:lang w:val="it-IT"/>
        </w:rPr>
        <w:t xml:space="preserve"> Territoriali. 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4) Definizione delle modalità di collaborazione con i Servizi di prevenzione e protezione delle aziende sanitarie per l’attuazione dei percorsi di valutazione e gestione del rischio </w:t>
      </w:r>
      <w:r>
        <w:rPr>
          <w:lang w:val="it-IT"/>
        </w:rPr>
        <w:t>in coerenza con quanto richiesto dall’articolo 30 del DL 81/208 e per la produzione di documenti di riferimento per un “Sistema di Gestione della Salute e Sicurezza sul Lavoro per le Aziende sanitarie”</w:t>
      </w:r>
    </w:p>
    <w:p w:rsidR="002118C5" w:rsidRDefault="002118C5">
      <w:pPr>
        <w:spacing w:line="360" w:lineRule="auto"/>
        <w:jc w:val="both"/>
        <w:rPr>
          <w:lang w:val="it-IT"/>
        </w:rPr>
      </w:pPr>
    </w:p>
    <w:p w:rsidR="002118C5" w:rsidRDefault="002118C5">
      <w:pPr>
        <w:spacing w:line="360" w:lineRule="auto"/>
        <w:jc w:val="both"/>
        <w:rPr>
          <w:lang w:val="it-IT"/>
        </w:rPr>
      </w:pPr>
    </w:p>
    <w:p w:rsidR="002118C5" w:rsidRDefault="002118C5">
      <w:pPr>
        <w:spacing w:line="360" w:lineRule="auto"/>
        <w:jc w:val="both"/>
        <w:rPr>
          <w:lang w:val="it-IT"/>
        </w:rPr>
      </w:pP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In relazione a quanto sopra riportato si prevedono </w:t>
      </w:r>
      <w:r>
        <w:rPr>
          <w:lang w:val="it-IT"/>
        </w:rPr>
        <w:t>i seguenti obiettivi di mandato per il 2019: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-Organizzare all’interno della prossima Convention dei Medici Competenti un gruppo di lavoro che discuterà le Linee Guida SIML sulla Tubercolosi e che riporterà le conclusioni al Coordinatore delle linee guida s</w:t>
      </w:r>
      <w:r>
        <w:rPr>
          <w:lang w:val="it-IT"/>
        </w:rPr>
        <w:t>tesse , ancora in fase di elaborazione.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lang w:val="it-IT"/>
        </w:rPr>
        <w:t>Il gruppo di lavoro potrà assumere il ruolo di “stakeholder interno”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-Effettuare una prima riunione della Commissione a giugno p.v. a Pisa a margine della Convention Nazionale dei Medici Competenti, in cui si delinee</w:t>
      </w:r>
      <w:r>
        <w:rPr>
          <w:lang w:val="it-IT"/>
        </w:rPr>
        <w:t xml:space="preserve">ranno argomenti di interesse da sottoporre al Consiglio Direttivo. 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-Iniziare l’attività dei gruppi di lavoro che si occuperanno della costituzione delle reti di medici competenti e della partecipazione alla stesura delle linee guida entro fine 2019.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-Orga</w:t>
      </w:r>
      <w:r>
        <w:rPr>
          <w:lang w:val="it-IT"/>
        </w:rPr>
        <w:t>nizzare una sessione congressuale al Congresso Nazionale SIML in sinergia con la Commissione sull’ attività professionale dei medici competenti e partecipare attivamente alle sessioni parallele con comunicazioni relative all’attività professionale dei medi</w:t>
      </w:r>
      <w:r>
        <w:rPr>
          <w:lang w:val="it-IT"/>
        </w:rPr>
        <w:t>ci del lavoro che operano nel settore sanitario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-Organizzare una seconda riunione della Commissione in occasione del Congresso Nazionale.</w:t>
      </w:r>
    </w:p>
    <w:p w:rsidR="002118C5" w:rsidRDefault="002118C5">
      <w:pPr>
        <w:spacing w:line="360" w:lineRule="auto"/>
        <w:jc w:val="both"/>
        <w:rPr>
          <w:lang w:val="it-IT"/>
        </w:rPr>
      </w:pP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In fase di prima costituzione, si propone che la Commissione Permanente dei Medici della Sanità sia composta dai segu</w:t>
      </w:r>
      <w:r>
        <w:rPr>
          <w:lang w:val="it-IT"/>
        </w:rPr>
        <w:t>enti Soci: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-Dott.ssa Paola Del Bufalo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-Dott. Maurizio Coggiola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-Dott. Mario Giorgianni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-Dott. Giovanni Guglielmi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-Dott. Antonello Serra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-Dott.ssa Silvia Simonini – Coordinatrice</w:t>
      </w:r>
    </w:p>
    <w:p w:rsidR="002118C5" w:rsidRDefault="006437B3">
      <w:pPr>
        <w:spacing w:line="360" w:lineRule="auto"/>
        <w:jc w:val="both"/>
        <w:rPr>
          <w:lang w:val="it-IT"/>
        </w:rPr>
      </w:pPr>
      <w:r>
        <w:rPr>
          <w:lang w:val="it-IT"/>
        </w:rPr>
        <w:t>-Dott.ssa Antonella Spigo</w:t>
      </w:r>
    </w:p>
    <w:p w:rsidR="002118C5" w:rsidRDefault="002118C5">
      <w:pPr>
        <w:spacing w:line="360" w:lineRule="auto"/>
        <w:jc w:val="both"/>
        <w:rPr>
          <w:lang w:val="it-IT"/>
        </w:rPr>
      </w:pPr>
    </w:p>
    <w:p w:rsidR="002118C5" w:rsidRDefault="002118C5">
      <w:pPr>
        <w:spacing w:line="360" w:lineRule="auto"/>
        <w:jc w:val="both"/>
      </w:pPr>
    </w:p>
    <w:sectPr w:rsidR="002118C5">
      <w:headerReference w:type="default" r:id="rId7"/>
      <w:pgSz w:w="11906" w:h="16838"/>
      <w:pgMar w:top="851" w:right="851" w:bottom="851" w:left="85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B3" w:rsidRDefault="006437B3">
      <w:r>
        <w:separator/>
      </w:r>
    </w:p>
  </w:endnote>
  <w:endnote w:type="continuationSeparator" w:id="0">
    <w:p w:rsidR="006437B3" w:rsidRDefault="0064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B3" w:rsidRDefault="006437B3">
      <w:r>
        <w:separator/>
      </w:r>
    </w:p>
  </w:footnote>
  <w:footnote w:type="continuationSeparator" w:id="0">
    <w:p w:rsidR="006437B3" w:rsidRDefault="0064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C5" w:rsidRDefault="006437B3">
    <w:pPr>
      <w:pStyle w:val="Corpotesto"/>
      <w:spacing w:before="10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  <w:lang w:val="it-IT" w:eastAsia="it-IT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posOffset>342900</wp:posOffset>
          </wp:positionH>
          <wp:positionV relativeFrom="paragraph">
            <wp:posOffset>-193675</wp:posOffset>
          </wp:positionV>
          <wp:extent cx="1092835" cy="114998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18C5" w:rsidRDefault="006437B3">
    <w:pPr>
      <w:pStyle w:val="Titolo1"/>
      <w:spacing w:line="410" w:lineRule="exact"/>
      <w:ind w:left="1931"/>
      <w:rPr>
        <w:lang w:val="it-IT"/>
      </w:rPr>
    </w:pPr>
    <w:r>
      <w:rPr>
        <w:color w:val="0064A6"/>
        <w:lang w:val="it-IT"/>
      </w:rPr>
      <w:t>SIML</w:t>
    </w:r>
  </w:p>
  <w:p w:rsidR="002118C5" w:rsidRDefault="006437B3">
    <w:pPr>
      <w:spacing w:line="295" w:lineRule="exact"/>
      <w:ind w:left="1931"/>
      <w:rPr>
        <w:rFonts w:ascii="Times New Roman" w:hAnsi="Times New Roman"/>
        <w:color w:val="0064A6"/>
        <w:sz w:val="26"/>
        <w:lang w:val="it-IT"/>
      </w:rPr>
    </w:pPr>
    <w:r>
      <w:rPr>
        <w:rFonts w:ascii="Times New Roman" w:hAnsi="Times New Roman"/>
        <w:color w:val="0064A6"/>
        <w:sz w:val="26"/>
        <w:lang w:val="it-IT"/>
      </w:rPr>
      <w:t>Società Italiana di Medicina del Lavoro</w:t>
    </w:r>
  </w:p>
  <w:p w:rsidR="002118C5" w:rsidRDefault="002118C5">
    <w:pPr>
      <w:pStyle w:val="Intestazione"/>
      <w:rPr>
        <w:lang w:val="it-IT"/>
      </w:rPr>
    </w:pPr>
  </w:p>
  <w:p w:rsidR="002118C5" w:rsidRDefault="002118C5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5"/>
    <w:rsid w:val="002118C5"/>
    <w:rsid w:val="00390605"/>
    <w:rsid w:val="0064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88"/>
      <w:ind w:left="1644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4"/>
      <w:ind w:left="159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86C6A"/>
    <w:rPr>
      <w:rFonts w:ascii="Verdana" w:eastAsia="Verdana" w:hAnsi="Verdana" w:cs="Verdan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86C6A"/>
    <w:rPr>
      <w:rFonts w:ascii="Verdana" w:eastAsia="Verdana" w:hAnsi="Verdana" w:cs="Verdan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18AE"/>
    <w:rPr>
      <w:rFonts w:ascii="Tahoma" w:eastAsia="Verdan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5"/>
      <w:ind w:left="114"/>
    </w:pPr>
  </w:style>
  <w:style w:type="paragraph" w:styleId="Intestazione">
    <w:name w:val="header"/>
    <w:basedOn w:val="Normale"/>
    <w:link w:val="IntestazioneCarattere"/>
    <w:uiPriority w:val="99"/>
    <w:unhideWhenUsed/>
    <w:rsid w:val="00D86C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86C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18A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88"/>
      <w:ind w:left="1644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4"/>
      <w:ind w:left="159"/>
      <w:outlineLvl w:val="1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86C6A"/>
    <w:rPr>
      <w:rFonts w:ascii="Verdana" w:eastAsia="Verdana" w:hAnsi="Verdana" w:cs="Verdan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86C6A"/>
    <w:rPr>
      <w:rFonts w:ascii="Verdana" w:eastAsia="Verdana" w:hAnsi="Verdana" w:cs="Verdan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18AE"/>
    <w:rPr>
      <w:rFonts w:ascii="Tahoma" w:eastAsia="Verdan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5"/>
      <w:ind w:left="114"/>
    </w:pPr>
  </w:style>
  <w:style w:type="paragraph" w:styleId="Intestazione">
    <w:name w:val="header"/>
    <w:basedOn w:val="Normale"/>
    <w:link w:val="IntestazioneCarattere"/>
    <w:uiPriority w:val="99"/>
    <w:unhideWhenUsed/>
    <w:rsid w:val="00D86C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86C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18A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iscrizione SIMLII_MOD</vt:lpstr>
    </vt:vector>
  </TitlesOfParts>
  <Company>OORRBG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iscrizione SIMLII_MOD</dc:title>
  <dc:creator>Utente</dc:creator>
  <cp:lastModifiedBy>SIMONINI SILVIA</cp:lastModifiedBy>
  <cp:revision>2</cp:revision>
  <dcterms:created xsi:type="dcterms:W3CDTF">2019-05-28T10:46:00Z</dcterms:created>
  <dcterms:modified xsi:type="dcterms:W3CDTF">2019-05-28T10:46:00Z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OORRBG</vt:lpwstr>
  </property>
  <property fmtid="{D5CDD505-2E9C-101B-9397-08002B2CF9AE}" pid="4" name="Created">
    <vt:filetime>2016-03-03T00:00:00Z</vt:filetime>
  </property>
  <property fmtid="{D5CDD505-2E9C-101B-9397-08002B2CF9AE}" pid="5" name="Creator">
    <vt:lpwstr>Adobe Illustrator CS5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2018-01-17T00:00:00Z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