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TELEPHON.DIGITAL</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NUTZUNGSBEDINGUNGEN</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Fassung </w:t>
      </w:r>
      <w:r w:rsidDel="00000000" w:rsidR="00000000" w:rsidRPr="00000000">
        <w:rPr>
          <w:sz w:val="24"/>
          <w:szCs w:val="24"/>
          <w:rtl w:val="0"/>
        </w:rPr>
        <w:t xml:space="preserve">März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2020</w:t>
      </w:r>
      <w:r w:rsidDel="00000000" w:rsidR="00000000" w:rsidRPr="00000000">
        <w:rPr>
          <w:sz w:val="24"/>
          <w:szCs w:val="24"/>
          <w:rtl w:val="0"/>
        </w:rPr>
        <w:t xml:space="preserve">1</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 ALLGEMENES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Die digitale Plattform TelePHON.digital ist Eigentum von TelePHON.digital BV und wird von dieser Gesellschaft betrieben. TelePHON.digital BV ist eine Gesellschaft mit beschränkter Haftung nach belgischem Recht, mit Sitz in 9830 Sint-Martens-Latem, Burgemeesterstraat 11, eingetragen bei der Zentralen Datenbank der Unternehmen unter der Firmennummer 0734.614.355.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Für Fragen zu diesen Nutzungsbedingungen kann die folgende E-Mail-Adresse verwendet werden: info@telephon.digital.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Diese Nutzungsbedingungen stellen eine Vereinbarung dar, die für die Vertragsparteien, einerseits TelePHON.digital BV, im Folgenden als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Diensteanbieter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bezeichnet, und andererseits für einen privaten oder professionellen Nutzer, im Folgenden als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Nutzer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bezeichnet,</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verbindlich ist.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 wird empfohlen, dass der Nutzer diese Nutzungsbedingungen vor der Nutzung von TelePHON.digital sorgfältig durchliest. Durch Klicken auf den Button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Ich stimme den Nutzungsbedingungen zu“</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erklärt sich der Nutzer damit einverstanden, dass seine Nutzung der digitalen Plattform TelePHON.digital durch diese Nutzungsbedingungen geregelt wird.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 DEFINITIONEN </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„TelePHON.digital“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bedeutet die digitale Plattform TelePHON.digital oder „das Produkt“.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„TelePHON.digital BV“</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Die juristische Person hinter TelePHON.digital.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„Konto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bezieht sich auf das registrierte Konto, das der Nutzer durch den Registrierungsprozess auf der Website www.telephon.digital erstellt hat.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Dritte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bedeutet jede natürliche oder juristische Person oder jedes Rechtssubjekt, das weder ein Nutzer noch der Diensteanbieter ist.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Privatnutzer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ist eine natürliche Person, die TelePHON.digital für Zwecke im Bereich Wohlbefinden und/oder Gesundheit nutzt, unabhängig davon, ob im Rahmen beruflicher Aktivitäten oder nicht.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Professioneller Nutzer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ist eine juristische Person, wie z.B. ein Anbieter im Gesundheitswesen, ein Unternehmen, eine Vereinigung oder eine Organisation, die TelePHON.digital für berufliche Aktivitäten, insbesondere die Bereitstellung von Diensten, verwendet. Ein professioneller Nutzer kann Inhalte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Inhalte/Content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 TelePHON.digital liefern, wobei das geistige Eigentum erhalten bleibt (siehe auch Punkt 7). TelePHON.digital BV respektiert die Rechte und Pflichten der Anbieter von Gesundheitsleistungen (einschließlich der Therapeuten), wie z.B. ihre therapeutische Freiheit und ihre therapeutische Verantwortung.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Nutzer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ist (sind) der (die) private(n) und/oder professionelle(n) Nutzer von TelePHON.digital.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Geistige Eigentumsrechte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bedeutet alle jetzt oder in Zukunft bekannten zusätzlichen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(i)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Urheberrechte, verwandten Schutzrechte und moralischen Rechte,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(ii)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Marken- oder Dienstleistungsmarkenrechte,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(iii)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Geschäftsgeheimnisrechte, Know-how, Fachwissen,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(iv)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Patente, Patentrechte und gewerblichen Schutzrechte,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(v)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Rechte am Layoutdesign, Designrechte,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(vi)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ergänzenden Schutzzertifikate</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 (vii)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Handels- und Geschäftsnamen, Domainnamen, Datenbankrechte, Mietrechte und alle anderen gewerblichen und geistigen Eigentumsrechte oder ähnliche Rechte (unabhängig davon, ob sie registriert oder nicht registriert sind);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(viii)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alle Eintragungen, Anträge auf Eintragung, Verlängerungen, Erweiterungen, Unterteilungen, Verbesserungen oder Neuausgaben in Bezug auf diese Rechte und das Recht, die vorgenannten Rechte in jedem Fall und in jeder Gerichtsbarkeit weltweit anzuwenden, aufrechtzuerhalten und durchzusetzen, solange dieser Schutz andauert.</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„Personenbezogene Daten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sind alle Informationen über eine identifizierte oder identifizierbare Person.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„Datenschutzerklärung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ist die Datenschutzerklärung von TelePHON.digital BV bezüglich der Nutzung von TelePHON.digital.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 GEGENSTAND</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Diese Nutzungsbedingungen gelten für die digitale Plattform TelePHON.digital (nachfolgend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das Produkt“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genannt). Damit ein Nutzer das Produkt nutzen kann, ist die Registrierung für ein Abonnement/eine Lizenz mit Kontoanmeldung erforderlich. Die Dauer und der Preis der Lizenz / des Abonnements sind auf der Website angegeben.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Das Produkt ist in erster Linie für (Selbst-)Training, (Selbst-)Tests, Coaching und/oder (Therapie-)Unterstützung gedacht. Das Produkt bietet die notwendigen Einrichtungen, um seine Verwendung durch die Nutzer zu ermöglichen, und umfasst die folgenden Teile: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277" w:before="0" w:line="240" w:lineRule="auto"/>
        <w:ind w:left="1134"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 xml:space="preserve">einen Teil zur Erstellung von Datenbanken mit z.B. informativen/pädagogischen Dokumenten, Übungen, audiovisuellem Material;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277" w:before="0" w:line="240" w:lineRule="auto"/>
        <w:ind w:left="1134"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 xml:space="preserve">ein Logbuch der Aktivitäten und Leistungen;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277" w:before="0" w:line="240" w:lineRule="auto"/>
        <w:ind w:left="1134"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 xml:space="preserve">einen Kommunikationsteil mittels (Video-)Chat.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 ZULÄSSIGE VERWENDUNG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Das Produkt wird nur dem registrierten Nutzer und nur in dem Umfang zur Verfügung gestellt, in dem seine Nutzung des Produkts den beschriebenen Zwecken entspricht.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Der Nutzer ist mitverantwortlich für die Sicherheit und Vertraulichkeit seiner (Anmelde-)Daten. Der Diensteanbieter rät dem Nutzer, sich vor unbefugtem Zugriff auf sein Konto zu schützen, indem er seine Anmeldedaten sicher verwahrt und nicht mit Dritten austauscht und sie nicht veröffentlicht.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Der Nutzer ist voll verantwortlich für alle Aktivitäten, die unter seinem persönlichen Konto durchgeführt werden. Er verpflichtet sich, TelePHON.digital BV im Falle einer unbefugten Nutzung seines Kontos oder einer anderen Sicherheitsverletzung unverzüglich zu benachrichtigen. TelePHON.digital BV übernimmt keine Haftung für Verluste oder Schäden, die sich aus der Nichteinhaltung dieser Anforderung ergeben.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TelePHON.digital BV behält sich das Recht vor, ist aber nicht verpflichtet, ein Konto zu überwachen und zu löschen, wenn sich das Konto als unangemessen oder unrichtig herausstellt oder wenn der Nutzer dieses Kontos gegen die Bestimmungen dieser Nutzungsbedingungen oder die Rechte Dritter oder gegen geltende Gesetze oder Vorschriften verstößt.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Das Material des Produkts darf nicht heruntergeladen und/oder exportiert werden, es sei denn, es wurde rechtmäßig über den Webshop von TelePHON.digital erworben. Andernfalls ist es nicht gestattet, Material des Produkts herunterzuladen oder auf andere Weise zu exportieren, so dass dieses Material außerhalb der geschützten Umgebung des Produkts verwendet und/oder gespeichert wird. Es ist nicht gestattet, Material des Produkts an Dritte zu verteilen oder zugänglich zu machen. Auch darf Dritten über ein Konto kein Zugang zum Material des Produkts gewährt werden, es sei denn, es wurde in einer schriftlichen Vereinbarung mit dem Diensteanbieter anderslautend festgelegt.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Der Nutzer stellt die Internetverbindung und die Telekommunikation der für die Nutzung des Produkts erforderlichen Computer-Netzwerkausrüstung zur Verfügung und übernimmt die Verantwortung dafür.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 HAFTUNG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TelePHON.digital BV unternimmt alle Anstrengungen, um die Qualität des öffentlich zugänglichen Materials, das auf dem Produkt zur Verfügung gestellt wird, zu gewährleisten. So nutzt TelePHON.digital BV beispielsweise die Unterstützung des TelePHON Advisory Board, der sich aus Experten zusammensetzt, die mit der Bewertung des zur öffentlichen Weitergabe angebotenen Materials beauftragt sind. TelePHON.digital BV unternimmt auch ernsthafte Anstrengungen, um die Qualität des privaten Materials, das auf dem Produkt zur Verfügung gestellt wird, zu gewährleisten. TelePHON.digital BV wendet sich bei der Bereitstellung dieser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Inhalte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ausgebildete Experten. Sollte die öffentliche Datenbank oder privates Material dennoch Ungenauigkeiten enthalten, wird TelePHON.digital BV selbstverständlich alle Anstrengungen unternehmen, diese so schnell wie möglich zu korrigieren.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Dennoch haftet TelePHON.digital BV nicht für Schäden jeglicher Art, die sich direkt oder indirekt aus dem Zugang zum Produkt oder dessen Nutzung ergeben, einschließlich beispielsweise Schäden, die sich aus Handlungen oder Unterlassungen des Nutzers auf der Grundlage des auf dem Produkt verfügbaren Materials ergeben. Auch kann TelePHON.digital BV nicht für Handlungen, Fehler, Unterlassungen, Zusicherungen, Garantien, Verletzungen oder Fahrlässigkeit Dritter oder anderer Diensteanbieter haftbar gemacht werden.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TelePHON.digital BV haftet dem Nutzer gegenüber in keinem Fall, weder direkt noch indirekt, speziell oder anderweitig, für Schäden, die aus der Nutzung des Produkts oder anderweitiger Nutzung, insbesondere durch Links oder Hyperlinks, entstehen, einschließlich, aber nicht beschränkt auf Verluste, Arbeitsunterbrechungen, Schäden an Programmen oder anderen Daten auf Computersystemen, Geräten, Software oder anderen Daten des Nutzers. Das Produkt kann Hyperlinks zu Websites oder Seiten Dritter enthalten oder indirekt auf diese verweisen.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Das Setzen von Links zu diesen Websites oder Seiten bedeutet in keiner Weise eine implizite Zustimmung zu deren Inhalt durch TelePHON.digital BV.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TelePHON.digital BV kann in keiner Weise für die Fehlfunktion oder die vorübergehende oder dauerhafte Nichtverfügbarkeit des Produkts haftbar gemacht werden. Der Inhalt des Produkts kann jederzeit ganz oder teilweise ohne Vorankündigung oder Benachrichtigung offline genommen, angepasst, geändert oder ergänzt werden.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Unbeschadet der vorstehenden Bestimmungen darf der Schadensersatz für eine etwaige Haftung der TelePHON.digital BV den Gesamtbetrag, den der Nutzer in den zwölf (12) Monaten vor dem Haftungsanspruch an die TelePHON.digital BV gezahlt hat, nicht überschreiten.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 AUSSETZUNG </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Wenn TelePHON.digital BV nach eigenem Ermessen feststellt oder vermutet, dass der Nutzer gegen diese Nutzungsbedingungen oder andere Anweisungen, Richtlinien oder Grundsätze (einschließlich, aber nicht beschränkt auf die Datenschutzerklärung) von TelePHON.digital BV verstößt, kann TelePHON.digital BV den Zugang zum Produkt aussetzen oder einschränken. Diese Aussetzung wird so lange fortgesetzt, bis der Nutzer den Verstoß, der zur Aussetzung oder Einschränkung geführt hat, behoben hat.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Wenn der Nutzer den Abonnement-/Lizenzpreis nicht rechtzeitig bezahlt (falls zutreffend), kann TelePHON.digital BV die Nutzung des Produkts automatisch aussetzen. Diese Aussetzung dauert so lange, bis der Nutzer den Abonnement-/Lizenzpreis bezahlt hat.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 GEISTIGE EIGENTUMSRECHTE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TelePHON.digital BV ist der ausschließliche Inhaber aller geistigen Eigentumsrechte in Bezug auf das Produkt und die damit verbundenen Dienstleistungen.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TelePHON.digital BV gewährt dem Nutzer nur ein persönliches Recht auf Zugang und Nutzung des Produkts, vorbehaltlich der Bestimmungen und Bedingungen dieser Nutzungsbedingungen.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Das Produkt und die verschiedenen Elemente, die auf dem Produkt vorkommen (wie Texte, Fotos, Datenbanken, Kataloge, Aktualisierungen, Marken, Logos, Illustrationen, Software und Videos) sind durch die Rechte des geistigen Eigentums geschützt, die TelePHON.digital BV oder seinen Lizenzgebern gehören. Gegebenenfalls sind sie Gegenstand einer Genehmigung zur Veröffentlichung, Verbreitung oder eines erworbenen Nutzungsrechts.</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Unbeschadet des Vorstehenden behält der professionelle Nutzer die Rechte am geistigen Eigentum seiner (inhaltlichen) Beiträge, die er gemäß der Kooperationsvereinbarung an TelePHON.digital geliefert hat. TelePHON.digital BV behält sich das Recht vor, Beiträge zu editieren, zu übersetzen und gegebenenfalls zu ändern, ohne grundlegende Änderungen am Inhalt oder Konzept vorzunehmen. Wenn jedoch die (inhaltlichen) Beiträge des professionellen Nutzers zur Schaffung eines wesentlichen Teils des Produkts führen, dann verpflichtet sich der professionelle Nutzer dazu, die geistigen Eigentumsrechte an diesen (inhaltlichen) Beiträgen an TelePHON.digital BV ohne jegliche Gebühr zu übertragen. TelePHON.digital BV bietet dem professionellen Nutzer die Möglichkeit, (inhaltliche) Beiträge für das Produkt aufzunehmen, in der Annahme, dass es sich nicht um (inhaltliche) Beiträge handelt, die durch geistige Eigentumsrechte geschützt sind, es sei denn, der professionelle Nutzer besitzt selbst diese Rechte oder verfügt über alle notwendigen Genehmigungen für die uneingeschränkte Verwertung und Nutzung der Beiträge in welcher Form auch immer, weltweit und für die Dauer des Schutzes der geistigen Rechte, die für diese Beiträge gelten. In jedem Fall trägt TelePHON.digital BV keine Verantwortung in dieser Angelegenheit. Der professionelle Nutzer stellt TelePHON.digital BV von jeglichen Ansprüchen Dritter in Bezug auf die (inhaltlichen) Beiträge an TelePHON.digital BV frei. TelePHON.digital BV ist nicht in der Lage, die Beiträge vor der Veröffentlichung auf dem Produkt auf ihre Rechtmäßigkeit oder die Einhaltung der geistigen Eigentumsrechte zu überprüfen.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8. DATENSCHUTZ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TelePHON.digital BV legt großen Wert auf die Privatsphäre des Nutzers und respektiert bei der Verarbeitung der personenbezogenen Daten des Nutzers alle geltenden einschlägigen Gesetze.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der Datenschutzerklärung wird dem Nutzer erklärt, wie TelePHON.digital BV seine personenbezogenen Daten erfasst und verarbeitet. Vor der Verwendung des Produkts muss der Nutzer der Datenschutzerklärung zustimmen und diese akzeptieren.</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9. ANWENDBARES RECHT UND GERICHTSBARKEIT </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Diese Nutzungsbedingungen unterliegen ausschließlich dem anwendbaren belgischen Recht und sind gemäß diesem auszulegen, ohne Beachtung damit nicht übereinstimmender Rechtsvorschriften. Die Gerichte von Ostflandern, Abteilung Gent, haben die ausschließliche Zuständigkeit für alle Streitigkeiten, die im Zusammenhang mit dem Produkt entstehen.</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rd" w:default="1">
    <w:name w:val="Normal"/>
    <w:qFormat w:val="1"/>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Default" w:customStyle="1">
    <w:name w:val="Default"/>
    <w:rsid w:val="005613D2"/>
    <w:pPr>
      <w:autoSpaceDE w:val="0"/>
      <w:autoSpaceDN w:val="0"/>
      <w:adjustRightInd w:val="0"/>
      <w:spacing w:after="0" w:line="240" w:lineRule="auto"/>
    </w:pPr>
    <w:rPr>
      <w:rFonts w:ascii="Calibri" w:cs="Calibri" w:hAnsi="Calibri"/>
      <w:color w:val="000000"/>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KkEMr5LqvqMFi8wg09MvcbxKhA==">AMUW2mVZRcduVB2DhJK9cchpx8HExC2O1VU3z9gXCYwilIhWggRMEATiTsdeKa3vObNo9Tl8TbA1IPieHQt3c2OLzHFtmb3y+D6WDyXnavUwv+HYhI6oGcnpqxdrrkOJzvAfz09kO7x6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2020-03-23T10:37:00Z</dcterms:created>
  <dc:creator>Home Office Translations</dc:creator>
</cp:coreProperties>
</file>