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FCA2C" w14:textId="6C3AD468" w:rsidR="003025F6" w:rsidRPr="003025F6" w:rsidRDefault="00001715" w:rsidP="00C12DEF">
      <w:pPr>
        <w:pStyle w:val="Header1"/>
        <w:spacing w:before="480"/>
      </w:pPr>
      <w:r w:rsidRPr="00B3457D">
        <w:rPr>
          <w:sz w:val="52"/>
          <w:szCs w:val="52"/>
        </w:rPr>
        <w:t>The Global Reporting Initiative</w:t>
      </w:r>
      <w:r w:rsidR="00306D6E" w:rsidRPr="00B3457D">
        <w:rPr>
          <w:sz w:val="52"/>
          <w:szCs w:val="52"/>
        </w:rPr>
        <w:t xml:space="preserve">’s </w:t>
      </w:r>
      <w:r w:rsidRPr="00B3457D">
        <w:rPr>
          <w:sz w:val="52"/>
          <w:szCs w:val="52"/>
        </w:rPr>
        <w:t>T</w:t>
      </w:r>
      <w:r w:rsidR="00BB1558" w:rsidRPr="00B3457D">
        <w:rPr>
          <w:sz w:val="52"/>
          <w:szCs w:val="52"/>
        </w:rPr>
        <w:t>ransition to Standards:</w:t>
      </w:r>
      <w:r w:rsidR="00BB1558" w:rsidRPr="003025F6">
        <w:t xml:space="preserve"> </w:t>
      </w:r>
      <w:r w:rsidR="00AB42E4">
        <w:br/>
      </w:r>
      <w:r w:rsidR="00BB1558" w:rsidRPr="00B3457D">
        <w:rPr>
          <w:rFonts w:ascii="Helvetica" w:hAnsi="Helvetica"/>
          <w:color w:val="2393AE"/>
          <w:w w:val="95"/>
          <w:kern w:val="144"/>
          <w:sz w:val="68"/>
          <w:szCs w:val="68"/>
        </w:rPr>
        <w:t xml:space="preserve">The Good, </w:t>
      </w:r>
      <w:r w:rsidR="00AA4A52" w:rsidRPr="00B3457D">
        <w:rPr>
          <w:rFonts w:ascii="Helvetica" w:hAnsi="Helvetica"/>
          <w:color w:val="2393AE"/>
          <w:w w:val="95"/>
          <w:kern w:val="144"/>
          <w:sz w:val="68"/>
          <w:szCs w:val="68"/>
        </w:rPr>
        <w:t>t</w:t>
      </w:r>
      <w:r w:rsidR="00BB1558" w:rsidRPr="00B3457D">
        <w:rPr>
          <w:rFonts w:ascii="Helvetica" w:hAnsi="Helvetica"/>
          <w:color w:val="2393AE"/>
          <w:w w:val="95"/>
          <w:kern w:val="144"/>
          <w:sz w:val="68"/>
          <w:szCs w:val="68"/>
        </w:rPr>
        <w:t>he Bad and the Ugly</w:t>
      </w:r>
    </w:p>
    <w:p w14:paraId="79BFA315" w14:textId="5D0D2E34" w:rsidR="007908AC" w:rsidRPr="003025F6" w:rsidRDefault="007908AC" w:rsidP="00FD613E">
      <w:pPr>
        <w:pStyle w:val="body-new"/>
        <w:spacing w:line="240" w:lineRule="auto"/>
        <w:jc w:val="right"/>
        <w:rPr>
          <w:i/>
        </w:rPr>
      </w:pPr>
      <w:r w:rsidRPr="003025F6">
        <w:rPr>
          <w:b/>
        </w:rPr>
        <w:t>Alison Dimond</w:t>
      </w:r>
      <w:r w:rsidR="00047431">
        <w:rPr>
          <w:i/>
        </w:rPr>
        <w:t xml:space="preserve"> </w:t>
      </w:r>
      <w:r w:rsidR="00FD613E">
        <w:rPr>
          <w:i/>
        </w:rPr>
        <w:br/>
        <w:t>S</w:t>
      </w:r>
      <w:r w:rsidRPr="003025F6">
        <w:rPr>
          <w:i/>
        </w:rPr>
        <w:t>enior Consultant, BuzzWord</w:t>
      </w:r>
    </w:p>
    <w:p w14:paraId="20019F68" w14:textId="7AD9A7D2" w:rsidR="007908AC" w:rsidRPr="003025F6" w:rsidRDefault="00FD613E" w:rsidP="003025F6">
      <w:pPr>
        <w:pStyle w:val="body-new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693731F" wp14:editId="22B0972C">
            <wp:simplePos x="0" y="0"/>
            <wp:positionH relativeFrom="column">
              <wp:posOffset>1485900</wp:posOffset>
            </wp:positionH>
            <wp:positionV relativeFrom="paragraph">
              <wp:posOffset>278130</wp:posOffset>
            </wp:positionV>
            <wp:extent cx="4457700" cy="3199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U-first-art-buzzword-site-color-10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 b="26519"/>
                    <a:stretch/>
                  </pic:blipFill>
                  <pic:spPr bwMode="auto">
                    <a:xfrm>
                      <a:off x="0" y="0"/>
                      <a:ext cx="4457700" cy="319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4DED3" w14:textId="5EB82EA7" w:rsidR="0085004E" w:rsidRPr="003025F6" w:rsidRDefault="00912AA3" w:rsidP="003025F6">
      <w:pPr>
        <w:pStyle w:val="body-new"/>
      </w:pPr>
      <w:r w:rsidRPr="003025F6">
        <w:t xml:space="preserve">As many companies are publishing or </w:t>
      </w:r>
      <w:r w:rsidR="00306D6E" w:rsidRPr="003025F6">
        <w:t xml:space="preserve">in </w:t>
      </w:r>
      <w:r w:rsidRPr="003025F6">
        <w:t xml:space="preserve">the final stretch </w:t>
      </w:r>
      <w:r w:rsidR="00306D6E" w:rsidRPr="003025F6">
        <w:t xml:space="preserve">of </w:t>
      </w:r>
      <w:proofErr w:type="gramStart"/>
      <w:r w:rsidRPr="003025F6">
        <w:t>developing</w:t>
      </w:r>
      <w:proofErr w:type="gramEnd"/>
      <w:r w:rsidRPr="003025F6">
        <w:t xml:space="preserve"> their 2016 sustainability reports, </w:t>
      </w:r>
      <w:r w:rsidR="0085004E" w:rsidRPr="003025F6">
        <w:t>it’s time to start</w:t>
      </w:r>
      <w:r w:rsidRPr="003025F6">
        <w:t xml:space="preserve"> plan</w:t>
      </w:r>
      <w:r w:rsidR="0085004E" w:rsidRPr="003025F6">
        <w:t>ning</w:t>
      </w:r>
      <w:r w:rsidRPr="003025F6">
        <w:t xml:space="preserve"> for the next reporting cycle. </w:t>
      </w:r>
      <w:r w:rsidR="0085004E" w:rsidRPr="003025F6">
        <w:t>A key part of that planning process for many reporters will be thinking through</w:t>
      </w:r>
      <w:r w:rsidRPr="003025F6">
        <w:t xml:space="preserve"> </w:t>
      </w:r>
      <w:r w:rsidR="009402EE" w:rsidRPr="003025F6">
        <w:t xml:space="preserve">the </w:t>
      </w:r>
      <w:r w:rsidR="00306D6E" w:rsidRPr="003025F6">
        <w:t>Global Reporting Initiative (</w:t>
      </w:r>
      <w:r w:rsidRPr="003025F6">
        <w:t>GRI</w:t>
      </w:r>
      <w:r w:rsidR="00306D6E" w:rsidRPr="003025F6">
        <w:t>)</w:t>
      </w:r>
      <w:r w:rsidRPr="003025F6">
        <w:t xml:space="preserve"> Standards</w:t>
      </w:r>
      <w:r w:rsidR="0085004E" w:rsidRPr="003025F6">
        <w:t xml:space="preserve">, </w:t>
      </w:r>
      <w:r w:rsidR="009402EE" w:rsidRPr="003025F6">
        <w:t xml:space="preserve">released in October 2016, </w:t>
      </w:r>
      <w:r w:rsidR="0085004E" w:rsidRPr="003025F6">
        <w:t xml:space="preserve">which will be required </w:t>
      </w:r>
      <w:r w:rsidR="00306D6E" w:rsidRPr="003025F6">
        <w:t xml:space="preserve">for </w:t>
      </w:r>
      <w:r w:rsidR="00960C9A" w:rsidRPr="003025F6">
        <w:t>any report published after</w:t>
      </w:r>
      <w:r w:rsidR="0085004E" w:rsidRPr="003025F6">
        <w:t xml:space="preserve"> July 1, 2018. In this </w:t>
      </w:r>
      <w:r w:rsidR="00B51986">
        <w:t>paper</w:t>
      </w:r>
      <w:r w:rsidR="0085004E" w:rsidRPr="003025F6">
        <w:t>, we review some of the good, the bad and the ugly of the new Standards</w:t>
      </w:r>
      <w:r w:rsidR="00306D6E" w:rsidRPr="003025F6">
        <w:t xml:space="preserve">, in terms of </w:t>
      </w:r>
      <w:r w:rsidR="0085004E" w:rsidRPr="003025F6">
        <w:t>how well they help to advance GRI’s stated goals</w:t>
      </w:r>
      <w:r w:rsidR="009402EE" w:rsidRPr="003025F6">
        <w:t xml:space="preserve">, </w:t>
      </w:r>
      <w:r w:rsidR="00306D6E" w:rsidRPr="003025F6">
        <w:t xml:space="preserve">the </w:t>
      </w:r>
      <w:r w:rsidR="009402EE" w:rsidRPr="003025F6">
        <w:t>value</w:t>
      </w:r>
      <w:r w:rsidR="0085004E" w:rsidRPr="003025F6">
        <w:t xml:space="preserve"> </w:t>
      </w:r>
      <w:r w:rsidR="00306D6E" w:rsidRPr="003025F6">
        <w:t xml:space="preserve">of the Standards </w:t>
      </w:r>
      <w:r w:rsidR="0085004E" w:rsidRPr="003025F6">
        <w:t>to reporters and report readers</w:t>
      </w:r>
      <w:r w:rsidR="009402EE" w:rsidRPr="003025F6">
        <w:t xml:space="preserve"> and the effort required to make the shift</w:t>
      </w:r>
      <w:r w:rsidR="0085004E" w:rsidRPr="003025F6">
        <w:t xml:space="preserve">. </w:t>
      </w:r>
    </w:p>
    <w:p w14:paraId="4529F27E" w14:textId="06CD3C3C" w:rsidR="00C521D4" w:rsidRPr="003025F6" w:rsidRDefault="003678AE" w:rsidP="003025F6">
      <w:pPr>
        <w:pStyle w:val="body-new"/>
      </w:pPr>
      <w:r w:rsidRPr="003025F6">
        <w:t>GRI has been a major force in encouraging and guiding sustainability reporting for nearly two decades</w:t>
      </w:r>
      <w:r w:rsidR="00306D6E" w:rsidRPr="003025F6">
        <w:t>,</w:t>
      </w:r>
      <w:r w:rsidRPr="003025F6">
        <w:t xml:space="preserve"> and the four generations of GRI Guidelines have been widely used. </w:t>
      </w:r>
      <w:r w:rsidR="00306D6E" w:rsidRPr="003025F6">
        <w:t xml:space="preserve">In 2016 alone, more </w:t>
      </w:r>
      <w:r w:rsidRPr="003025F6">
        <w:t>than 3</w:t>
      </w:r>
      <w:r w:rsidR="00960C9A" w:rsidRPr="003025F6">
        <w:t>,</w:t>
      </w:r>
      <w:r w:rsidRPr="003025F6">
        <w:t xml:space="preserve">400 reports were published using </w:t>
      </w:r>
      <w:r w:rsidR="00306D6E" w:rsidRPr="003025F6">
        <w:t xml:space="preserve">the </w:t>
      </w:r>
      <w:r w:rsidRPr="003025F6">
        <w:t>GRI</w:t>
      </w:r>
      <w:r w:rsidR="00306D6E" w:rsidRPr="003025F6">
        <w:t xml:space="preserve"> Guidelines,</w:t>
      </w:r>
      <w:r w:rsidRPr="003025F6">
        <w:t xml:space="preserve"> and some 26,400 GRI-based </w:t>
      </w:r>
      <w:r w:rsidRPr="003025F6">
        <w:lastRenderedPageBreak/>
        <w:t xml:space="preserve">reports are listed in </w:t>
      </w:r>
      <w:hyperlink r:id="rId9" w:history="1">
        <w:r w:rsidRPr="003025F6">
          <w:rPr>
            <w:rStyle w:val="Hyperlink"/>
          </w:rPr>
          <w:t>GRI’s database</w:t>
        </w:r>
      </w:hyperlink>
      <w:r w:rsidRPr="003025F6">
        <w:t xml:space="preserve">. The </w:t>
      </w:r>
      <w:r w:rsidR="000948C2" w:rsidRPr="003025F6">
        <w:t xml:space="preserve">GRI </w:t>
      </w:r>
      <w:r w:rsidR="00DB4473" w:rsidRPr="003025F6">
        <w:t>Standards</w:t>
      </w:r>
      <w:r w:rsidRPr="003025F6">
        <w:t xml:space="preserve"> are</w:t>
      </w:r>
      <w:r w:rsidR="00646262" w:rsidRPr="003025F6">
        <w:t xml:space="preserve"> </w:t>
      </w:r>
      <w:r w:rsidR="00DB4473" w:rsidRPr="003025F6">
        <w:t>intended to</w:t>
      </w:r>
      <w:r w:rsidR="000948C2" w:rsidRPr="003025F6">
        <w:t xml:space="preserve"> update </w:t>
      </w:r>
      <w:r w:rsidR="00306D6E" w:rsidRPr="003025F6">
        <w:t xml:space="preserve">the </w:t>
      </w:r>
      <w:r w:rsidR="000948C2" w:rsidRPr="003025F6">
        <w:t>sustainability reporting framework</w:t>
      </w:r>
      <w:r w:rsidR="00646262" w:rsidRPr="003025F6">
        <w:t xml:space="preserve"> </w:t>
      </w:r>
      <w:r w:rsidR="006D3E87" w:rsidRPr="003025F6">
        <w:t xml:space="preserve">from </w:t>
      </w:r>
      <w:r w:rsidR="000948C2" w:rsidRPr="003025F6">
        <w:t>guideline</w:t>
      </w:r>
      <w:r w:rsidR="006D3E87" w:rsidRPr="003025F6">
        <w:t xml:space="preserve">s </w:t>
      </w:r>
      <w:r w:rsidR="002C2BAF" w:rsidRPr="003025F6">
        <w:t>to</w:t>
      </w:r>
      <w:r w:rsidR="004B0686" w:rsidRPr="003025F6">
        <w:t xml:space="preserve"> a</w:t>
      </w:r>
      <w:r w:rsidR="002C2BAF" w:rsidRPr="003025F6">
        <w:t xml:space="preserve"> full-fledge</w:t>
      </w:r>
      <w:r w:rsidR="004B0686" w:rsidRPr="003025F6">
        <w:t>d</w:t>
      </w:r>
      <w:r w:rsidR="002C2BAF" w:rsidRPr="003025F6">
        <w:t xml:space="preserve"> </w:t>
      </w:r>
      <w:r w:rsidR="004B0686" w:rsidRPr="003025F6">
        <w:t>s</w:t>
      </w:r>
      <w:r w:rsidR="002C2BAF" w:rsidRPr="003025F6">
        <w:t>tandards</w:t>
      </w:r>
      <w:r w:rsidR="004B0686" w:rsidRPr="003025F6">
        <w:t>-based system</w:t>
      </w:r>
      <w:r w:rsidR="002C2BAF" w:rsidRPr="003025F6">
        <w:t xml:space="preserve">. </w:t>
      </w:r>
      <w:r w:rsidR="00C521D4" w:rsidRPr="003025F6">
        <w:t xml:space="preserve">The </w:t>
      </w:r>
      <w:r w:rsidRPr="003025F6">
        <w:t>S</w:t>
      </w:r>
      <w:r w:rsidR="00C521D4" w:rsidRPr="003025F6">
        <w:t>tandards</w:t>
      </w:r>
      <w:r w:rsidR="006D3E87" w:rsidRPr="003025F6">
        <w:t xml:space="preserve"> follow </w:t>
      </w:r>
      <w:r w:rsidR="00C521D4" w:rsidRPr="003025F6">
        <w:t xml:space="preserve">the </w:t>
      </w:r>
      <w:r w:rsidR="003B7DB6">
        <w:t xml:space="preserve">substantial </w:t>
      </w:r>
      <w:r w:rsidR="00C521D4" w:rsidRPr="003025F6">
        <w:t>2013</w:t>
      </w:r>
      <w:r w:rsidR="006D3E87" w:rsidRPr="003025F6">
        <w:t xml:space="preserve"> overhaul of </w:t>
      </w:r>
      <w:r w:rsidR="00C521D4" w:rsidRPr="003025F6">
        <w:t xml:space="preserve">GRI’s </w:t>
      </w:r>
      <w:r w:rsidR="006D3E87" w:rsidRPr="003025F6">
        <w:t>reporting guidance from G3 to G4</w:t>
      </w:r>
      <w:r w:rsidR="003B7DB6">
        <w:t xml:space="preserve">. </w:t>
      </w:r>
      <w:r w:rsidR="006D3E87" w:rsidRPr="003025F6">
        <w:t xml:space="preserve"> </w:t>
      </w:r>
    </w:p>
    <w:p w14:paraId="639FFC08" w14:textId="4FD4929A" w:rsidR="006D3E87" w:rsidRPr="003025F6" w:rsidRDefault="006D3E87" w:rsidP="003025F6">
      <w:pPr>
        <w:pStyle w:val="body-new"/>
      </w:pPr>
      <w:r w:rsidRPr="003025F6">
        <w:t>We’re sure many rep</w:t>
      </w:r>
      <w:r w:rsidR="0007179F" w:rsidRPr="003025F6">
        <w:t>orters, and report users</w:t>
      </w:r>
      <w:r w:rsidRPr="003025F6">
        <w:t xml:space="preserve">, are wondering how big a </w:t>
      </w:r>
      <w:r w:rsidR="00C521D4" w:rsidRPr="003025F6">
        <w:t xml:space="preserve">transition the shift to the </w:t>
      </w:r>
      <w:r w:rsidR="004B0686" w:rsidRPr="003025F6">
        <w:t xml:space="preserve">Standards </w:t>
      </w:r>
      <w:r w:rsidRPr="003025F6">
        <w:t>will be</w:t>
      </w:r>
      <w:r w:rsidR="00646262" w:rsidRPr="003025F6">
        <w:t>, and whether and when to make the jump</w:t>
      </w:r>
      <w:r w:rsidRPr="003025F6">
        <w:t>.</w:t>
      </w:r>
      <w:r w:rsidR="00306D6E" w:rsidRPr="003025F6">
        <w:t xml:space="preserve"> </w:t>
      </w:r>
      <w:r w:rsidR="0085004E" w:rsidRPr="003025F6">
        <w:t xml:space="preserve">Not surprisingly, given </w:t>
      </w:r>
      <w:r w:rsidR="009402EE" w:rsidRPr="003025F6">
        <w:t xml:space="preserve">that </w:t>
      </w:r>
      <w:r w:rsidR="0085004E" w:rsidRPr="003025F6">
        <w:t>the Standards were released after many companies were well into the development of their 2016 reports, relatively few companies are moving to the Standards in their 2016 reports</w:t>
      </w:r>
      <w:r w:rsidR="00306D6E" w:rsidRPr="003025F6">
        <w:t>.</w:t>
      </w:r>
      <w:r w:rsidR="0085004E" w:rsidRPr="003025F6">
        <w:t xml:space="preserve"> </w:t>
      </w:r>
      <w:r w:rsidR="003B7DB6" w:rsidRPr="003B7DB6">
        <w:t xml:space="preserve">(As of July 2017, there were only 100 Standards-based reports in GRI's database). </w:t>
      </w:r>
      <w:r w:rsidR="009E0CFF" w:rsidRPr="003025F6">
        <w:t>But w</w:t>
      </w:r>
      <w:r w:rsidR="0085004E" w:rsidRPr="003025F6">
        <w:t xml:space="preserve">e expect </w:t>
      </w:r>
      <w:r w:rsidR="009E0CFF" w:rsidRPr="003025F6">
        <w:t xml:space="preserve">to see </w:t>
      </w:r>
      <w:r w:rsidR="00F54E4D" w:rsidRPr="003025F6">
        <w:t>the</w:t>
      </w:r>
      <w:r w:rsidR="009E0CFF" w:rsidRPr="003025F6">
        <w:t xml:space="preserve"> majority of</w:t>
      </w:r>
      <w:r w:rsidR="0085004E" w:rsidRPr="003025F6">
        <w:t xml:space="preserve"> </w:t>
      </w:r>
      <w:proofErr w:type="gramStart"/>
      <w:r w:rsidR="009E0CFF" w:rsidRPr="003025F6">
        <w:t>companies</w:t>
      </w:r>
      <w:proofErr w:type="gramEnd"/>
      <w:r w:rsidR="0085004E" w:rsidRPr="003025F6">
        <w:t xml:space="preserve"> transition</w:t>
      </w:r>
      <w:r w:rsidR="009E0CFF" w:rsidRPr="003025F6">
        <w:t xml:space="preserve"> to the Standards in their next reporting cycle. </w:t>
      </w:r>
    </w:p>
    <w:p w14:paraId="5F38E31C" w14:textId="06555C06" w:rsidR="002C2BAF" w:rsidRDefault="009E0CFF" w:rsidP="003025F6">
      <w:pPr>
        <w:pStyle w:val="body-new"/>
      </w:pPr>
      <w:r w:rsidRPr="003025F6">
        <w:t xml:space="preserve">As we outline below, there is much to like about the Standards, and the </w:t>
      </w:r>
      <w:r w:rsidR="00F54E4D" w:rsidRPr="003025F6">
        <w:t>lift</w:t>
      </w:r>
      <w:r w:rsidRPr="003025F6">
        <w:t xml:space="preserve"> won’t be as </w:t>
      </w:r>
      <w:r w:rsidR="00F54E4D" w:rsidRPr="003025F6">
        <w:t xml:space="preserve">heavy </w:t>
      </w:r>
      <w:r w:rsidRPr="003025F6">
        <w:t xml:space="preserve">as the move from G3 to G4. But some knowledge of the good and the bad of the Standards </w:t>
      </w:r>
      <w:r w:rsidR="002B10C6">
        <w:t>may be a help</w:t>
      </w:r>
      <w:r w:rsidR="00306D6E" w:rsidRPr="003025F6">
        <w:t>ful</w:t>
      </w:r>
      <w:r w:rsidRPr="003025F6">
        <w:t xml:space="preserve"> first step in making the transition.</w:t>
      </w:r>
      <w:r w:rsidR="00306D6E" w:rsidRPr="003025F6">
        <w:t xml:space="preserve"> </w:t>
      </w:r>
      <w:r w:rsidR="002C2BAF" w:rsidRPr="003025F6">
        <w:t xml:space="preserve"> </w:t>
      </w:r>
    </w:p>
    <w:p w14:paraId="1486462B" w14:textId="77777777" w:rsidR="00261637" w:rsidRPr="00C12DEF" w:rsidRDefault="00261637" w:rsidP="003025F6">
      <w:pPr>
        <w:pStyle w:val="body-new"/>
        <w:rPr>
          <w:rFonts w:ascii="95 Helvetica Black" w:hAnsi="95 Helvetica Black"/>
          <w:b/>
        </w:rPr>
      </w:pPr>
    </w:p>
    <w:p w14:paraId="6E608E9A" w14:textId="04E44B49" w:rsidR="00BB1558" w:rsidRPr="00C12DEF" w:rsidRDefault="00690917" w:rsidP="00261637">
      <w:pPr>
        <w:pStyle w:val="body-new"/>
        <w:rPr>
          <w:rFonts w:ascii="95 Helvetica Black" w:hAnsi="95 Helvetica Black"/>
          <w:b/>
          <w:color w:val="E63A15"/>
          <w:sz w:val="24"/>
          <w:szCs w:val="24"/>
        </w:rPr>
      </w:pPr>
      <w:r w:rsidRPr="00C12DEF">
        <w:rPr>
          <w:rFonts w:ascii="95 Helvetica Black" w:hAnsi="95 Helvetica Black"/>
          <w:b/>
          <w:color w:val="E63A15"/>
          <w:sz w:val="24"/>
          <w:szCs w:val="24"/>
        </w:rPr>
        <w:t>THE GOOD</w:t>
      </w:r>
      <w:r w:rsidR="00B3457D" w:rsidRPr="00C12DEF">
        <w:rPr>
          <w:rFonts w:ascii="95 Helvetica Black" w:hAnsi="95 Helvetica Black"/>
          <w:b/>
          <w:color w:val="E63A15"/>
          <w:sz w:val="24"/>
          <w:szCs w:val="24"/>
        </w:rPr>
        <w:t xml:space="preserve"> </w:t>
      </w:r>
    </w:p>
    <w:p w14:paraId="082C053F" w14:textId="1BD1F4D7" w:rsidR="00B24769" w:rsidRPr="003025F6" w:rsidRDefault="00EB4371" w:rsidP="003025F6">
      <w:pPr>
        <w:pStyle w:val="body-new"/>
      </w:pPr>
      <w:r w:rsidRPr="00B24769">
        <w:rPr>
          <w:b/>
        </w:rPr>
        <w:t>Substantially the same</w:t>
      </w:r>
      <w:r w:rsidR="00306D6E" w:rsidRPr="00B24769">
        <w:rPr>
          <w:b/>
        </w:rPr>
        <w:t xml:space="preserve"> r</w:t>
      </w:r>
      <w:r w:rsidR="00BE0935" w:rsidRPr="00B24769">
        <w:rPr>
          <w:b/>
        </w:rPr>
        <w:t>eporting requirements as G4</w:t>
      </w:r>
      <w:r w:rsidRPr="00B24769">
        <w:rPr>
          <w:b/>
        </w:rPr>
        <w:t>.</w:t>
      </w:r>
      <w:r w:rsidR="004B0686" w:rsidRPr="003025F6">
        <w:t xml:space="preserve"> </w:t>
      </w:r>
      <w:r w:rsidRPr="003025F6">
        <w:t xml:space="preserve">The requirements are very similar </w:t>
      </w:r>
      <w:r w:rsidR="004B0686" w:rsidRPr="003025F6">
        <w:t xml:space="preserve">in terms of </w:t>
      </w:r>
      <w:r w:rsidR="00DB4473" w:rsidRPr="003025F6">
        <w:t xml:space="preserve">the principles used for </w:t>
      </w:r>
      <w:r w:rsidR="00BB1558" w:rsidRPr="003025F6">
        <w:t xml:space="preserve">defining report content </w:t>
      </w:r>
      <w:r w:rsidR="008A53F1" w:rsidRPr="003025F6">
        <w:t xml:space="preserve">and </w:t>
      </w:r>
      <w:r w:rsidR="00DB4473" w:rsidRPr="003025F6">
        <w:t>the specific</w:t>
      </w:r>
      <w:r w:rsidR="00BE0935" w:rsidRPr="003025F6">
        <w:t xml:space="preserve"> disclosure requirements. </w:t>
      </w:r>
    </w:p>
    <w:p w14:paraId="75AAA26F" w14:textId="5750549D" w:rsidR="00F04474" w:rsidRDefault="00EB4371" w:rsidP="003025F6">
      <w:pPr>
        <w:pStyle w:val="body-new"/>
      </w:pPr>
      <w:r w:rsidRPr="00B24769">
        <w:rPr>
          <w:b/>
        </w:rPr>
        <w:t>C</w:t>
      </w:r>
      <w:r w:rsidR="008A53F1" w:rsidRPr="00B24769">
        <w:rPr>
          <w:b/>
        </w:rPr>
        <w:t>larif</w:t>
      </w:r>
      <w:r w:rsidRPr="00B24769">
        <w:rPr>
          <w:b/>
        </w:rPr>
        <w:t>ication of</w:t>
      </w:r>
      <w:r w:rsidR="00BE0935" w:rsidRPr="00B24769">
        <w:rPr>
          <w:b/>
        </w:rPr>
        <w:t xml:space="preserve"> </w:t>
      </w:r>
      <w:r w:rsidR="008A53F1" w:rsidRPr="00B24769">
        <w:rPr>
          <w:b/>
        </w:rPr>
        <w:t>required versus</w:t>
      </w:r>
      <w:r w:rsidR="00BE0935" w:rsidRPr="00B24769">
        <w:rPr>
          <w:b/>
        </w:rPr>
        <w:t xml:space="preserve"> recommended</w:t>
      </w:r>
      <w:r w:rsidR="008A53F1" w:rsidRPr="00B24769">
        <w:rPr>
          <w:b/>
        </w:rPr>
        <w:t xml:space="preserve"> disclosures</w:t>
      </w:r>
      <w:r w:rsidRPr="00B24769">
        <w:rPr>
          <w:b/>
        </w:rPr>
        <w:t>.</w:t>
      </w:r>
      <w:r w:rsidRPr="003025F6">
        <w:t xml:space="preserve"> The Standards</w:t>
      </w:r>
      <w:r w:rsidR="008A53F1" w:rsidRPr="003025F6">
        <w:t xml:space="preserve"> </w:t>
      </w:r>
      <w:r w:rsidRPr="003025F6">
        <w:t xml:space="preserve">make it clearer what is </w:t>
      </w:r>
      <w:r w:rsidR="003B7DB6">
        <w:t xml:space="preserve">required </w:t>
      </w:r>
      <w:r w:rsidRPr="003025F6">
        <w:t xml:space="preserve">versus just recommended </w:t>
      </w:r>
      <w:r w:rsidR="008A53F1" w:rsidRPr="003025F6">
        <w:t>through the use of the terms “</w:t>
      </w:r>
      <w:r w:rsidR="00BE0935" w:rsidRPr="003025F6">
        <w:t>shall</w:t>
      </w:r>
      <w:r w:rsidR="008A53F1" w:rsidRPr="003025F6">
        <w:t>” and</w:t>
      </w:r>
      <w:r w:rsidR="00BE0935" w:rsidRPr="003025F6">
        <w:t xml:space="preserve"> </w:t>
      </w:r>
      <w:r w:rsidR="008A53F1" w:rsidRPr="003025F6">
        <w:t>“</w:t>
      </w:r>
      <w:r w:rsidR="00BE0935" w:rsidRPr="003025F6">
        <w:t>should.</w:t>
      </w:r>
      <w:r w:rsidR="008A53F1" w:rsidRPr="003025F6">
        <w:t>”</w:t>
      </w:r>
      <w:r w:rsidR="00BE0935" w:rsidRPr="003025F6">
        <w:t xml:space="preserve"> This clarification </w:t>
      </w:r>
      <w:r w:rsidR="00BB1558" w:rsidRPr="003025F6">
        <w:t xml:space="preserve">improves </w:t>
      </w:r>
      <w:r w:rsidR="006E5224" w:rsidRPr="003025F6">
        <w:t>usability</w:t>
      </w:r>
      <w:r w:rsidR="00BB1558" w:rsidRPr="003025F6">
        <w:t xml:space="preserve"> by reporters</w:t>
      </w:r>
      <w:r w:rsidR="008A53F1" w:rsidRPr="003025F6">
        <w:t xml:space="preserve"> and</w:t>
      </w:r>
      <w:r w:rsidR="00BB1558" w:rsidRPr="003025F6">
        <w:t xml:space="preserve"> </w:t>
      </w:r>
      <w:r w:rsidR="00306D6E" w:rsidRPr="003025F6">
        <w:t xml:space="preserve">improves </w:t>
      </w:r>
      <w:r w:rsidR="00BB1558" w:rsidRPr="003025F6">
        <w:t xml:space="preserve">transparency for readers by making it </w:t>
      </w:r>
      <w:r w:rsidRPr="003025F6">
        <w:t>easier to understand</w:t>
      </w:r>
      <w:r w:rsidR="00BB1558" w:rsidRPr="003025F6">
        <w:t xml:space="preserve"> what</w:t>
      </w:r>
      <w:r w:rsidR="008A53F1" w:rsidRPr="003025F6">
        <w:t>’s required</w:t>
      </w:r>
      <w:r w:rsidR="00BB1558" w:rsidRPr="003025F6">
        <w:t xml:space="preserve"> to claim </w:t>
      </w:r>
      <w:r w:rsidR="00306D6E" w:rsidRPr="003025F6">
        <w:t xml:space="preserve">that </w:t>
      </w:r>
      <w:r w:rsidR="00BB1558" w:rsidRPr="003025F6">
        <w:t>an indicator as reported</w:t>
      </w:r>
      <w:r w:rsidR="008A53F1" w:rsidRPr="003025F6">
        <w:t xml:space="preserve">. It also </w:t>
      </w:r>
      <w:r w:rsidR="00BB1558" w:rsidRPr="003025F6">
        <w:t>improves comparability across reports that claim to disclose the same indicators</w:t>
      </w:r>
      <w:r w:rsidR="00B24769" w:rsidRPr="003025F6">
        <w:t>.</w:t>
      </w:r>
    </w:p>
    <w:p w14:paraId="1E6E9ADA" w14:textId="3FCAF43C" w:rsidR="00975D32" w:rsidRPr="003025F6" w:rsidRDefault="00975D32" w:rsidP="003025F6">
      <w:pPr>
        <w:pStyle w:val="body-new"/>
      </w:pPr>
      <w:r w:rsidRPr="00B24769">
        <w:rPr>
          <w:b/>
        </w:rPr>
        <w:t>Even more focus on materiality</w:t>
      </w:r>
      <w:r w:rsidR="00EB4371" w:rsidRPr="00B24769">
        <w:rPr>
          <w:b/>
        </w:rPr>
        <w:t>,</w:t>
      </w:r>
      <w:r w:rsidRPr="00B24769">
        <w:rPr>
          <w:b/>
        </w:rPr>
        <w:t xml:space="preserve"> and clarity on what makes issues material</w:t>
      </w:r>
      <w:r w:rsidR="006E5224" w:rsidRPr="003025F6">
        <w:t>.</w:t>
      </w:r>
      <w:r w:rsidR="00F54E4D" w:rsidRPr="003025F6">
        <w:t xml:space="preserve"> </w:t>
      </w:r>
      <w:r w:rsidRPr="003025F6">
        <w:t xml:space="preserve">As in G4, reporting using the GRI Standards requires companies to assess their most material issues and impacts. </w:t>
      </w:r>
      <w:r w:rsidR="006E5224" w:rsidRPr="003025F6">
        <w:t>For the Standards</w:t>
      </w:r>
      <w:r w:rsidRPr="003025F6">
        <w:t xml:space="preserve">, GRI has clarified that </w:t>
      </w:r>
      <w:r w:rsidR="006E5224" w:rsidRPr="003025F6">
        <w:t>materiality assessments</w:t>
      </w:r>
      <w:r w:rsidRPr="003025F6">
        <w:t xml:space="preserve"> should focus on the direct and indirect impacts an organization has outside </w:t>
      </w:r>
      <w:r w:rsidR="006E5224" w:rsidRPr="003025F6">
        <w:t xml:space="preserve">its </w:t>
      </w:r>
      <w:r w:rsidRPr="003025F6">
        <w:t>borders</w:t>
      </w:r>
      <w:r w:rsidR="00F54E4D" w:rsidRPr="003025F6">
        <w:t xml:space="preserve"> on</w:t>
      </w:r>
      <w:r w:rsidRPr="003025F6">
        <w:t xml:space="preserve"> the environment and society, rather than on how issues impact the company. In addition, the Standards require reporters to provide a more robust explanation of </w:t>
      </w:r>
      <w:r w:rsidR="006E5224" w:rsidRPr="003025F6">
        <w:t xml:space="preserve">how </w:t>
      </w:r>
      <w:r w:rsidRPr="003025F6">
        <w:t xml:space="preserve">they use GRI’s principles for defining report content to identify material issues. </w:t>
      </w:r>
      <w:r w:rsidR="007A1516" w:rsidRPr="003025F6">
        <w:t xml:space="preserve">This may require many companies to update </w:t>
      </w:r>
      <w:r w:rsidR="00F54E4D" w:rsidRPr="003025F6">
        <w:t xml:space="preserve">both </w:t>
      </w:r>
      <w:r w:rsidR="007A1516" w:rsidRPr="003025F6">
        <w:t xml:space="preserve">their materiality analysis process and </w:t>
      </w:r>
      <w:r w:rsidR="00467579" w:rsidRPr="003025F6">
        <w:t>how they describe it. It</w:t>
      </w:r>
      <w:r w:rsidR="007A1516" w:rsidRPr="003025F6">
        <w:t xml:space="preserve"> will also </w:t>
      </w:r>
      <w:r w:rsidR="00467579" w:rsidRPr="003025F6">
        <w:t xml:space="preserve">be a </w:t>
      </w:r>
      <w:r w:rsidR="007A1516" w:rsidRPr="003025F6">
        <w:t xml:space="preserve">more useful guide for </w:t>
      </w:r>
      <w:r w:rsidR="007A1516" w:rsidRPr="003025F6">
        <w:lastRenderedPageBreak/>
        <w:t xml:space="preserve">reporters in determining report content and for report readers in understanding an organization’s broader </w:t>
      </w:r>
      <w:r w:rsidR="00B8467C" w:rsidRPr="003025F6">
        <w:t>sustainability</w:t>
      </w:r>
      <w:r w:rsidR="007A1516" w:rsidRPr="003025F6">
        <w:t xml:space="preserve"> impacts. </w:t>
      </w:r>
    </w:p>
    <w:p w14:paraId="1B94B88A" w14:textId="33619FD4" w:rsidR="006B3C24" w:rsidRPr="003025F6" w:rsidRDefault="00B0146B" w:rsidP="003025F6">
      <w:pPr>
        <w:pStyle w:val="body-new"/>
      </w:pPr>
      <w:r w:rsidRPr="002B10C6">
        <w:rPr>
          <w:b/>
        </w:rPr>
        <w:t>Improved clarity on how to</w:t>
      </w:r>
      <w:r w:rsidR="00BE0935" w:rsidRPr="002B10C6">
        <w:rPr>
          <w:b/>
        </w:rPr>
        <w:t xml:space="preserve"> handle non-GRI material issues.</w:t>
      </w:r>
      <w:r w:rsidR="00BE0935" w:rsidRPr="003025F6">
        <w:t xml:space="preserve"> In the past, it wasn’t clear </w:t>
      </w:r>
      <w:r w:rsidR="008A53F1" w:rsidRPr="003025F6">
        <w:t>whether</w:t>
      </w:r>
      <w:r w:rsidR="00BE0935" w:rsidRPr="003025F6">
        <w:t xml:space="preserve"> or how reporters had to discuss material issues that did not </w:t>
      </w:r>
      <w:r w:rsidR="006E5224" w:rsidRPr="003025F6">
        <w:t xml:space="preserve">align </w:t>
      </w:r>
      <w:r w:rsidR="00BE0935" w:rsidRPr="003025F6">
        <w:t>to GRI’s aspects or topics. Under the Standards,</w:t>
      </w:r>
      <w:r w:rsidR="006B3C24" w:rsidRPr="003025F6">
        <w:t xml:space="preserve"> </w:t>
      </w:r>
      <w:r w:rsidRPr="003025F6">
        <w:t>GRI makes it clear that</w:t>
      </w:r>
      <w:r w:rsidR="008A53F1" w:rsidRPr="003025F6">
        <w:t xml:space="preserve"> </w:t>
      </w:r>
      <w:r w:rsidR="006B3C24" w:rsidRPr="003025F6">
        <w:t xml:space="preserve">reporters </w:t>
      </w:r>
      <w:r w:rsidR="008A53F1" w:rsidRPr="003025F6">
        <w:t>must provide</w:t>
      </w:r>
      <w:r w:rsidR="006B3C24" w:rsidRPr="003025F6">
        <w:t xml:space="preserve"> a disclosure on management approach for all material topics</w:t>
      </w:r>
      <w:r w:rsidR="00BE0935" w:rsidRPr="003025F6">
        <w:t>, and GRI recommend</w:t>
      </w:r>
      <w:r w:rsidR="008A53F1" w:rsidRPr="003025F6">
        <w:t>s</w:t>
      </w:r>
      <w:r w:rsidR="00BE0935" w:rsidRPr="003025F6">
        <w:t xml:space="preserve"> </w:t>
      </w:r>
      <w:r w:rsidR="006E5224" w:rsidRPr="003025F6">
        <w:t>using</w:t>
      </w:r>
      <w:r w:rsidR="00BE0935" w:rsidRPr="003025F6">
        <w:t xml:space="preserve"> relevant indicators as well</w:t>
      </w:r>
      <w:r w:rsidR="006B3C24" w:rsidRPr="003025F6">
        <w:t xml:space="preserve">. </w:t>
      </w:r>
    </w:p>
    <w:p w14:paraId="17764630" w14:textId="06F958C7" w:rsidR="00B0146B" w:rsidRPr="003025F6" w:rsidRDefault="00B0146B" w:rsidP="003025F6">
      <w:pPr>
        <w:pStyle w:val="body-new"/>
      </w:pPr>
      <w:r w:rsidRPr="002B10C6">
        <w:rPr>
          <w:b/>
        </w:rPr>
        <w:t>Increased requirements for disclos</w:t>
      </w:r>
      <w:r w:rsidR="00EB4371" w:rsidRPr="002B10C6">
        <w:rPr>
          <w:b/>
        </w:rPr>
        <w:t xml:space="preserve">ures </w:t>
      </w:r>
      <w:r w:rsidRPr="002B10C6">
        <w:rPr>
          <w:b/>
        </w:rPr>
        <w:t>on management approach</w:t>
      </w:r>
      <w:r w:rsidR="00AA4A52" w:rsidRPr="002B10C6">
        <w:rPr>
          <w:b/>
        </w:rPr>
        <w:t xml:space="preserve"> (DMA</w:t>
      </w:r>
      <w:r w:rsidR="00EB4371" w:rsidRPr="002B10C6">
        <w:rPr>
          <w:b/>
        </w:rPr>
        <w:t>s</w:t>
      </w:r>
      <w:r w:rsidR="00AA4A52" w:rsidRPr="002B10C6">
        <w:rPr>
          <w:b/>
        </w:rPr>
        <w:t>)</w:t>
      </w:r>
      <w:r w:rsidR="006E5224" w:rsidRPr="002B10C6">
        <w:rPr>
          <w:b/>
        </w:rPr>
        <w:t>.</w:t>
      </w:r>
      <w:r w:rsidRPr="003025F6">
        <w:t xml:space="preserve"> Many companies don’t provide robust information on how they manage material impacts and issues. While this </w:t>
      </w:r>
      <w:r w:rsidR="006E5224" w:rsidRPr="003025F6">
        <w:t xml:space="preserve">content </w:t>
      </w:r>
      <w:r w:rsidRPr="003025F6">
        <w:t xml:space="preserve">may be a bit dull, it is useful information to help readers </w:t>
      </w:r>
      <w:r w:rsidR="00F54E4D" w:rsidRPr="003025F6">
        <w:t xml:space="preserve">assess how a company manages risks and its </w:t>
      </w:r>
      <w:r w:rsidRPr="003025F6">
        <w:t xml:space="preserve">potential for sustained performance on key issues. </w:t>
      </w:r>
      <w:r w:rsidR="00912AA3" w:rsidRPr="003025F6">
        <w:t xml:space="preserve">GRI </w:t>
      </w:r>
      <w:r w:rsidR="00EB4371" w:rsidRPr="003025F6">
        <w:t xml:space="preserve">Standards </w:t>
      </w:r>
      <w:r w:rsidR="00912AA3" w:rsidRPr="003025F6">
        <w:t>require that</w:t>
      </w:r>
      <w:r w:rsidR="00EB4371" w:rsidRPr="003025F6">
        <w:t>,</w:t>
      </w:r>
      <w:r w:rsidR="00912AA3" w:rsidRPr="003025F6">
        <w:t xml:space="preserve"> for each material topic</w:t>
      </w:r>
      <w:r w:rsidR="00EB4371" w:rsidRPr="003025F6">
        <w:t>,</w:t>
      </w:r>
      <w:r w:rsidR="00912AA3" w:rsidRPr="003025F6">
        <w:t xml:space="preserve"> companies report on </w:t>
      </w:r>
      <w:r w:rsidRPr="003025F6">
        <w:t xml:space="preserve">many key management disclosures—including </w:t>
      </w:r>
      <w:r w:rsidR="006E5224" w:rsidRPr="003025F6">
        <w:t xml:space="preserve">goals and targets, </w:t>
      </w:r>
      <w:r w:rsidR="00912AA3" w:rsidRPr="003025F6">
        <w:t>policies</w:t>
      </w:r>
      <w:r w:rsidR="006E5224" w:rsidRPr="003025F6">
        <w:t xml:space="preserve"> and </w:t>
      </w:r>
      <w:r w:rsidR="00912AA3" w:rsidRPr="003025F6">
        <w:t xml:space="preserve">management structure. </w:t>
      </w:r>
      <w:r w:rsidR="006E5224" w:rsidRPr="003025F6">
        <w:t>GRI has</w:t>
      </w:r>
      <w:r w:rsidR="00912AA3" w:rsidRPr="003025F6">
        <w:t xml:space="preserve"> also added some new requirements</w:t>
      </w:r>
      <w:r w:rsidR="006E5224" w:rsidRPr="003025F6">
        <w:t>,</w:t>
      </w:r>
      <w:r w:rsidR="00912AA3" w:rsidRPr="003025F6">
        <w:t xml:space="preserve"> including reporting on the purpose of the management approach and on grievance mechanisms. This </w:t>
      </w:r>
      <w:r w:rsidR="00AA4A52" w:rsidRPr="003025F6">
        <w:t xml:space="preserve">evolution in the approach to DMAs </w:t>
      </w:r>
      <w:r w:rsidR="00912AA3" w:rsidRPr="003025F6">
        <w:t>is good for overall</w:t>
      </w:r>
      <w:r w:rsidRPr="003025F6">
        <w:t xml:space="preserve"> transparency but </w:t>
      </w:r>
      <w:r w:rsidR="00912AA3" w:rsidRPr="003025F6">
        <w:t xml:space="preserve">adds a challenge for reporters to integrate this </w:t>
      </w:r>
      <w:r w:rsidR="00AA4A52" w:rsidRPr="003025F6">
        <w:t>less-than-riveting</w:t>
      </w:r>
      <w:r w:rsidR="00912AA3" w:rsidRPr="003025F6">
        <w:t xml:space="preserve"> content into their reporting. </w:t>
      </w:r>
    </w:p>
    <w:p w14:paraId="6B329CAC" w14:textId="355FB0FB" w:rsidR="00C67F27" w:rsidRPr="003025F6" w:rsidRDefault="009E0CFF" w:rsidP="003025F6">
      <w:pPr>
        <w:pStyle w:val="body-new"/>
      </w:pPr>
      <w:r w:rsidRPr="002B10C6">
        <w:rPr>
          <w:b/>
        </w:rPr>
        <w:t xml:space="preserve">More stringent requirements for </w:t>
      </w:r>
      <w:r w:rsidR="00975D32" w:rsidRPr="002B10C6">
        <w:rPr>
          <w:b/>
        </w:rPr>
        <w:t>referencing GRI Standards</w:t>
      </w:r>
      <w:r w:rsidR="00EB4371" w:rsidRPr="002B10C6">
        <w:rPr>
          <w:b/>
        </w:rPr>
        <w:t>.</w:t>
      </w:r>
      <w:r w:rsidR="00975D32" w:rsidRPr="003025F6">
        <w:t xml:space="preserve"> Many reporters</w:t>
      </w:r>
      <w:r w:rsidR="00AA4A52" w:rsidRPr="003025F6">
        <w:t xml:space="preserve"> reference GRI in some way</w:t>
      </w:r>
      <w:r w:rsidR="00975D32" w:rsidRPr="003025F6">
        <w:t xml:space="preserve"> without claiming to be in accordance with GRI’s reporting requirements. Moving forward, to claim any use of GRI, reports will have to meet a higher, and more consistent, standard</w:t>
      </w:r>
      <w:r w:rsidR="00EB4371" w:rsidRPr="003025F6">
        <w:t>.</w:t>
      </w:r>
      <w:r w:rsidR="00975D32" w:rsidRPr="003025F6">
        <w:t xml:space="preserve"> This will increase the usefulness and comparability of GRI</w:t>
      </w:r>
      <w:r w:rsidR="00EB4371" w:rsidRPr="003025F6">
        <w:t>-</w:t>
      </w:r>
      <w:r w:rsidR="00975D32" w:rsidRPr="003025F6">
        <w:t xml:space="preserve">referenced reports and their GRI indices </w:t>
      </w:r>
      <w:r w:rsidR="00B0146B" w:rsidRPr="003025F6">
        <w:t xml:space="preserve">for report readers, but </w:t>
      </w:r>
      <w:r w:rsidR="00EB4371" w:rsidRPr="003025F6">
        <w:t xml:space="preserve">it also </w:t>
      </w:r>
      <w:r w:rsidR="00B0146B" w:rsidRPr="003025F6">
        <w:t xml:space="preserve">increases rigor for reporters who </w:t>
      </w:r>
      <w:r w:rsidR="00975D32" w:rsidRPr="003025F6">
        <w:t xml:space="preserve">previously </w:t>
      </w:r>
      <w:r w:rsidR="00B0146B" w:rsidRPr="003025F6">
        <w:t xml:space="preserve">provided a GRI index without really digging into the </w:t>
      </w:r>
      <w:r w:rsidR="00EB3107" w:rsidRPr="003025F6">
        <w:t>indicators’ specific requirements</w:t>
      </w:r>
      <w:r w:rsidR="00B0146B" w:rsidRPr="003025F6">
        <w:t xml:space="preserve">. </w:t>
      </w:r>
    </w:p>
    <w:p w14:paraId="3378473F" w14:textId="5669EC33" w:rsidR="00BB1558" w:rsidRPr="003025F6" w:rsidRDefault="00EB4371" w:rsidP="003025F6">
      <w:pPr>
        <w:pStyle w:val="body-new"/>
      </w:pPr>
      <w:r w:rsidRPr="002B10C6">
        <w:rPr>
          <w:b/>
        </w:rPr>
        <w:t>Clarification of</w:t>
      </w:r>
      <w:r w:rsidR="00BE0935" w:rsidRPr="002B10C6">
        <w:rPr>
          <w:b/>
        </w:rPr>
        <w:t xml:space="preserve"> </w:t>
      </w:r>
      <w:r w:rsidR="00BB1558" w:rsidRPr="002B10C6">
        <w:rPr>
          <w:b/>
        </w:rPr>
        <w:t>worker/workforce/employee terminology</w:t>
      </w:r>
      <w:r w:rsidR="00BE0935" w:rsidRPr="002B10C6">
        <w:rPr>
          <w:b/>
        </w:rPr>
        <w:t>.</w:t>
      </w:r>
      <w:r w:rsidR="00BE0935" w:rsidRPr="003025F6">
        <w:t xml:space="preserve"> In the past, </w:t>
      </w:r>
      <w:r w:rsidR="008A53F1" w:rsidRPr="003025F6">
        <w:t xml:space="preserve">there was a lot of confusion about </w:t>
      </w:r>
      <w:r w:rsidR="00BE0935" w:rsidRPr="003025F6">
        <w:t>GRI</w:t>
      </w:r>
      <w:r w:rsidR="008A53F1" w:rsidRPr="003025F6">
        <w:t xml:space="preserve">’s requirements for reporting on employees, contractors and others associated with an organization’s workforce, and many companies found it difficult to gather information for workers beyond their direct employees. </w:t>
      </w:r>
      <w:r w:rsidR="00471FD0" w:rsidRPr="003025F6">
        <w:t xml:space="preserve">On the one hand, </w:t>
      </w:r>
      <w:r w:rsidRPr="003025F6">
        <w:t xml:space="preserve">GRI’s clarifications on this issue will </w:t>
      </w:r>
      <w:r w:rsidR="008A53F1" w:rsidRPr="003025F6">
        <w:t>simplif</w:t>
      </w:r>
      <w:r w:rsidRPr="003025F6">
        <w:t>y</w:t>
      </w:r>
      <w:r w:rsidR="008A53F1" w:rsidRPr="003025F6">
        <w:t xml:space="preserve"> the reporting task</w:t>
      </w:r>
      <w:r w:rsidR="00471FD0" w:rsidRPr="003025F6">
        <w:t>. For example, some difficult indicators</w:t>
      </w:r>
      <w:r w:rsidR="003B7DB6">
        <w:t xml:space="preserve"> --</w:t>
      </w:r>
      <w:r w:rsidR="00471FD0" w:rsidRPr="003025F6">
        <w:t xml:space="preserve"> like G4-10</w:t>
      </w:r>
      <w:r w:rsidR="008A53F1" w:rsidRPr="003025F6">
        <w:t xml:space="preserve">, </w:t>
      </w:r>
      <w:r w:rsidR="00471FD0" w:rsidRPr="003025F6">
        <w:t xml:space="preserve">which asks for detailed breakdowns </w:t>
      </w:r>
      <w:r w:rsidRPr="003025F6">
        <w:t xml:space="preserve">of </w:t>
      </w:r>
      <w:r w:rsidR="00471FD0" w:rsidRPr="003025F6">
        <w:t>a company’s workforce</w:t>
      </w:r>
      <w:r w:rsidR="003B7DB6">
        <w:t xml:space="preserve"> --</w:t>
      </w:r>
      <w:r w:rsidR="00471FD0" w:rsidRPr="003025F6">
        <w:t xml:space="preserve"> will </w:t>
      </w:r>
      <w:r w:rsidR="00BB1558" w:rsidRPr="003025F6">
        <w:t>foc</w:t>
      </w:r>
      <w:r w:rsidR="00471FD0" w:rsidRPr="003025F6">
        <w:t xml:space="preserve">us </w:t>
      </w:r>
      <w:r w:rsidR="008A53F1" w:rsidRPr="003025F6">
        <w:t xml:space="preserve">only </w:t>
      </w:r>
      <w:r w:rsidR="00471FD0" w:rsidRPr="003025F6">
        <w:t>on direct employees</w:t>
      </w:r>
      <w:r w:rsidR="00BB1558" w:rsidRPr="003025F6">
        <w:t xml:space="preserve">. </w:t>
      </w:r>
      <w:r w:rsidR="008E5D59" w:rsidRPr="003025F6">
        <w:t xml:space="preserve">On the other hand, </w:t>
      </w:r>
      <w:r w:rsidR="008A53F1" w:rsidRPr="003025F6">
        <w:t xml:space="preserve">this </w:t>
      </w:r>
      <w:r w:rsidR="003B7DB6">
        <w:t>could</w:t>
      </w:r>
      <w:r w:rsidR="003B7DB6" w:rsidRPr="003025F6">
        <w:t xml:space="preserve"> </w:t>
      </w:r>
      <w:r w:rsidR="008A53F1" w:rsidRPr="003025F6">
        <w:t>reduce</w:t>
      </w:r>
      <w:r w:rsidR="008E5D59" w:rsidRPr="003025F6">
        <w:t xml:space="preserve"> transparency about a</w:t>
      </w:r>
      <w:r w:rsidR="008A53F1" w:rsidRPr="003025F6">
        <w:t xml:space="preserve"> potentially</w:t>
      </w:r>
      <w:r w:rsidR="008E5D59" w:rsidRPr="003025F6">
        <w:t xml:space="preserve"> large part of a company’s overall workforce that </w:t>
      </w:r>
      <w:r w:rsidR="003B7DB6">
        <w:t>may</w:t>
      </w:r>
      <w:r w:rsidR="00471FD0" w:rsidRPr="003025F6">
        <w:t xml:space="preserve"> not receive the</w:t>
      </w:r>
      <w:r w:rsidR="008E5D59" w:rsidRPr="003025F6">
        <w:t xml:space="preserve"> same benefits as direct employees</w:t>
      </w:r>
      <w:r w:rsidR="00B0146B" w:rsidRPr="003025F6">
        <w:t>.</w:t>
      </w:r>
    </w:p>
    <w:p w14:paraId="1713B5F8" w14:textId="6E05600D" w:rsidR="008A53F1" w:rsidRPr="003025F6" w:rsidRDefault="00EB4371" w:rsidP="00C12DEF">
      <w:pPr>
        <w:pStyle w:val="body-new"/>
        <w:spacing w:after="240"/>
      </w:pPr>
      <w:r w:rsidRPr="002B10C6">
        <w:rPr>
          <w:b/>
        </w:rPr>
        <w:lastRenderedPageBreak/>
        <w:t xml:space="preserve">Expansion of the </w:t>
      </w:r>
      <w:r w:rsidR="00471FD0" w:rsidRPr="002B10C6">
        <w:rPr>
          <w:b/>
        </w:rPr>
        <w:t>“information not available” reason for omitting required information.</w:t>
      </w:r>
      <w:r w:rsidR="00471FD0" w:rsidRPr="003025F6">
        <w:t xml:space="preserve"> Under the Standards, organizations will be able claim “information not available” </w:t>
      </w:r>
      <w:r w:rsidR="008A53F1" w:rsidRPr="003025F6">
        <w:t xml:space="preserve">as a </w:t>
      </w:r>
      <w:r w:rsidR="00471FD0" w:rsidRPr="003025F6">
        <w:t xml:space="preserve">reason </w:t>
      </w:r>
      <w:r w:rsidR="008A53F1" w:rsidRPr="003025F6">
        <w:t>to omit reporting on an indicator</w:t>
      </w:r>
      <w:r w:rsidR="00471FD0" w:rsidRPr="003025F6">
        <w:t xml:space="preserve"> when they don’t have data on impacts that occur outside their own operational </w:t>
      </w:r>
      <w:r w:rsidR="008E5D59" w:rsidRPr="003025F6">
        <w:t>boundaries. This is a</w:t>
      </w:r>
      <w:r w:rsidR="008A53F1" w:rsidRPr="003025F6">
        <w:t xml:space="preserve"> nod to the kinds of data companies can </w:t>
      </w:r>
      <w:r w:rsidR="00EB3107" w:rsidRPr="003025F6">
        <w:t xml:space="preserve">realistically </w:t>
      </w:r>
      <w:r w:rsidR="008A53F1" w:rsidRPr="003025F6">
        <w:t xml:space="preserve">collect, </w:t>
      </w:r>
      <w:r w:rsidR="008E5D59" w:rsidRPr="003025F6">
        <w:t>as supply chain and value chain data is often very hard to track reliab</w:t>
      </w:r>
      <w:r w:rsidR="00471FD0" w:rsidRPr="003025F6">
        <w:t xml:space="preserve">ly. </w:t>
      </w:r>
      <w:r w:rsidR="00AA4A52" w:rsidRPr="003025F6">
        <w:t>However</w:t>
      </w:r>
      <w:r w:rsidR="00471FD0" w:rsidRPr="003025F6">
        <w:t xml:space="preserve">, </w:t>
      </w:r>
      <w:r w:rsidR="008A53F1" w:rsidRPr="003025F6">
        <w:t>many significant impacts occur upstream and downst</w:t>
      </w:r>
      <w:r w:rsidR="00EB3107" w:rsidRPr="003025F6">
        <w:t>r</w:t>
      </w:r>
      <w:r w:rsidR="008A53F1" w:rsidRPr="003025F6">
        <w:t xml:space="preserve">eam of an organization’s direct operations, so it may slow the trend of greater transparency around those impacts. </w:t>
      </w:r>
    </w:p>
    <w:p w14:paraId="4FBE8830" w14:textId="77777777" w:rsidR="008E425B" w:rsidRDefault="008E425B" w:rsidP="003025F6">
      <w:pPr>
        <w:pStyle w:val="body-new"/>
        <w:rPr>
          <w:rFonts w:ascii="LB Helvetica Black" w:hAnsi="LB Helvetica Black"/>
          <w:color w:val="B6C529"/>
          <w:sz w:val="24"/>
          <w:szCs w:val="24"/>
        </w:rPr>
      </w:pPr>
    </w:p>
    <w:p w14:paraId="685D408C" w14:textId="2DC25145" w:rsidR="0097295A" w:rsidRPr="008E425B" w:rsidRDefault="00FA5674" w:rsidP="00C12DEF">
      <w:pPr>
        <w:pStyle w:val="body-new"/>
        <w:spacing w:after="240"/>
        <w:rPr>
          <w:rFonts w:ascii="LB Helvetica Black" w:hAnsi="LB Helvetica Black"/>
          <w:color w:val="B6C529"/>
          <w:sz w:val="24"/>
          <w:szCs w:val="24"/>
        </w:rPr>
      </w:pPr>
      <w:r w:rsidRPr="00C12DEF">
        <w:rPr>
          <w:rFonts w:ascii="LB Helvetica Black" w:hAnsi="LB Helvetica Black"/>
          <w:b/>
          <w:color w:val="B6C529"/>
          <w:sz w:val="24"/>
          <w:szCs w:val="24"/>
        </w:rPr>
        <w:t>THE BAD</w:t>
      </w:r>
      <w:r w:rsidR="008E425B">
        <w:rPr>
          <w:rFonts w:ascii="LB Helvetica Black" w:hAnsi="LB Helvetica Black"/>
          <w:color w:val="B6C529"/>
          <w:sz w:val="24"/>
          <w:szCs w:val="24"/>
        </w:rPr>
        <w:br/>
      </w:r>
      <w:r w:rsidR="009543AB" w:rsidRPr="002B10C6">
        <w:rPr>
          <w:b/>
        </w:rPr>
        <w:t xml:space="preserve">No more </w:t>
      </w:r>
      <w:r w:rsidR="0097295A" w:rsidRPr="002B10C6">
        <w:rPr>
          <w:b/>
        </w:rPr>
        <w:t>sector supplements</w:t>
      </w:r>
      <w:r w:rsidR="00E338AD" w:rsidRPr="002B10C6">
        <w:rPr>
          <w:b/>
        </w:rPr>
        <w:t>.</w:t>
      </w:r>
      <w:r w:rsidR="0097295A" w:rsidRPr="003025F6">
        <w:t xml:space="preserve"> </w:t>
      </w:r>
      <w:r w:rsidR="00EB4371" w:rsidRPr="003025F6">
        <w:t xml:space="preserve">The </w:t>
      </w:r>
      <w:r w:rsidR="0097295A" w:rsidRPr="003025F6">
        <w:t xml:space="preserve">GRI </w:t>
      </w:r>
      <w:r w:rsidR="00EB4371" w:rsidRPr="003025F6">
        <w:t xml:space="preserve">Standards have </w:t>
      </w:r>
      <w:r w:rsidR="0097295A" w:rsidRPr="003025F6">
        <w:t xml:space="preserve">dropped </w:t>
      </w:r>
      <w:r w:rsidR="009543AB" w:rsidRPr="003025F6">
        <w:t xml:space="preserve">the </w:t>
      </w:r>
      <w:r w:rsidR="0097295A" w:rsidRPr="003025F6">
        <w:t xml:space="preserve">sector supplements as a required part of reporting for </w:t>
      </w:r>
      <w:r w:rsidR="00E338AD" w:rsidRPr="003025F6">
        <w:t>“</w:t>
      </w:r>
      <w:r w:rsidR="0097295A" w:rsidRPr="003025F6">
        <w:t>in accordance</w:t>
      </w:r>
      <w:r w:rsidR="00E338AD" w:rsidRPr="003025F6">
        <w:t>”</w:t>
      </w:r>
      <w:r w:rsidR="0097295A" w:rsidRPr="003025F6">
        <w:t xml:space="preserve"> reports. They do still recommend </w:t>
      </w:r>
      <w:r w:rsidR="008A53F1" w:rsidRPr="003025F6">
        <w:t xml:space="preserve">that </w:t>
      </w:r>
      <w:r w:rsidR="0097295A" w:rsidRPr="003025F6">
        <w:t>companies consider the sector supplement issues</w:t>
      </w:r>
      <w:r w:rsidR="008F4599" w:rsidRPr="003025F6">
        <w:t xml:space="preserve"> and </w:t>
      </w:r>
      <w:r w:rsidR="0097295A" w:rsidRPr="003025F6">
        <w:t xml:space="preserve">disclosures in doing their materiality </w:t>
      </w:r>
      <w:r w:rsidR="001402C2" w:rsidRPr="003025F6">
        <w:t>analyses</w:t>
      </w:r>
      <w:r w:rsidR="0097295A" w:rsidRPr="003025F6">
        <w:t>, but reporting sector</w:t>
      </w:r>
      <w:r w:rsidR="008A53F1" w:rsidRPr="003025F6">
        <w:t>-</w:t>
      </w:r>
      <w:r w:rsidR="0097295A" w:rsidRPr="003025F6">
        <w:t xml:space="preserve">specific indicators is no longer required. This </w:t>
      </w:r>
      <w:r w:rsidR="009543AB" w:rsidRPr="003025F6">
        <w:t xml:space="preserve">seems considerably at odds with </w:t>
      </w:r>
      <w:r w:rsidR="00E338AD" w:rsidRPr="003025F6">
        <w:t xml:space="preserve">some of </w:t>
      </w:r>
      <w:r w:rsidR="009543AB" w:rsidRPr="003025F6">
        <w:t xml:space="preserve">GRI’s </w:t>
      </w:r>
      <w:r w:rsidR="00E338AD" w:rsidRPr="003025F6">
        <w:t xml:space="preserve">stated </w:t>
      </w:r>
      <w:r w:rsidR="009543AB" w:rsidRPr="003025F6">
        <w:t>goals</w:t>
      </w:r>
      <w:r w:rsidR="00E338AD" w:rsidRPr="003025F6">
        <w:t xml:space="preserve">. </w:t>
      </w:r>
      <w:r w:rsidR="0097295A" w:rsidRPr="003025F6">
        <w:t xml:space="preserve">For many industries, the sector supplements </w:t>
      </w:r>
      <w:r w:rsidR="00E338AD" w:rsidRPr="003025F6">
        <w:t xml:space="preserve">contain </w:t>
      </w:r>
      <w:r w:rsidR="0097295A" w:rsidRPr="003025F6">
        <w:t xml:space="preserve">the most important material issues and disclosures. </w:t>
      </w:r>
      <w:r w:rsidR="008F4599" w:rsidRPr="003025F6">
        <w:t>For</w:t>
      </w:r>
      <w:r w:rsidR="0097295A" w:rsidRPr="003025F6">
        <w:t xml:space="preserve"> financial services companies, </w:t>
      </w:r>
      <w:r w:rsidR="008F4599" w:rsidRPr="003025F6">
        <w:t xml:space="preserve">for example, </w:t>
      </w:r>
      <w:r w:rsidR="0097295A" w:rsidRPr="003025F6">
        <w:t xml:space="preserve">the most important impacts are really </w:t>
      </w:r>
      <w:r w:rsidR="008F4599" w:rsidRPr="003025F6">
        <w:t xml:space="preserve">in </w:t>
      </w:r>
      <w:r w:rsidR="0097295A" w:rsidRPr="003025F6">
        <w:t>the issues covered only in the sector supplements</w:t>
      </w:r>
      <w:r w:rsidR="008F4599" w:rsidRPr="003025F6">
        <w:t xml:space="preserve">, </w:t>
      </w:r>
      <w:r w:rsidR="009543AB" w:rsidRPr="003025F6">
        <w:t xml:space="preserve">such as </w:t>
      </w:r>
      <w:r w:rsidR="0097295A" w:rsidRPr="003025F6">
        <w:t xml:space="preserve">how they screen for social and environmental risks. This makes the GRI standards much less relevant and rigorous for a large number of industries. </w:t>
      </w:r>
    </w:p>
    <w:p w14:paraId="12B4A21B" w14:textId="77777777" w:rsidR="008E425B" w:rsidRDefault="008E425B" w:rsidP="003025F6">
      <w:pPr>
        <w:pStyle w:val="body-new"/>
      </w:pPr>
    </w:p>
    <w:p w14:paraId="7CB8D85E" w14:textId="55B7F9E8" w:rsidR="00B35CD2" w:rsidRPr="003025F6" w:rsidRDefault="00FA5674" w:rsidP="003025F6">
      <w:pPr>
        <w:pStyle w:val="body-new"/>
      </w:pPr>
      <w:r w:rsidRPr="00C12DEF">
        <w:rPr>
          <w:rFonts w:ascii="LB Helvetica Black" w:hAnsi="LB Helvetica Black"/>
          <w:b/>
          <w:color w:val="2393AE"/>
        </w:rPr>
        <w:t>THE UGLY</w:t>
      </w:r>
      <w:r w:rsidR="008E425B">
        <w:br/>
      </w:r>
      <w:r w:rsidR="00A462A6" w:rsidRPr="002B10C6">
        <w:rPr>
          <w:b/>
        </w:rPr>
        <w:t>All</w:t>
      </w:r>
      <w:r w:rsidR="00EB4371" w:rsidRPr="002B10C6">
        <w:rPr>
          <w:b/>
        </w:rPr>
        <w:t>-</w:t>
      </w:r>
      <w:r w:rsidR="00A462A6" w:rsidRPr="002B10C6">
        <w:rPr>
          <w:b/>
        </w:rPr>
        <w:t>new indicator numbers and indexing format.</w:t>
      </w:r>
      <w:r w:rsidR="00A462A6" w:rsidRPr="003025F6">
        <w:t xml:space="preserve"> </w:t>
      </w:r>
      <w:r w:rsidR="00B35CD2" w:rsidRPr="003025F6">
        <w:t xml:space="preserve">New numbering will make </w:t>
      </w:r>
      <w:r w:rsidR="008F4599" w:rsidRPr="003025F6">
        <w:t xml:space="preserve">creating </w:t>
      </w:r>
      <w:r w:rsidR="00B35CD2" w:rsidRPr="003025F6">
        <w:t>the indices much harder, at least the first time</w:t>
      </w:r>
      <w:r w:rsidR="008F4599" w:rsidRPr="003025F6">
        <w:t>,</w:t>
      </w:r>
      <w:r w:rsidR="00B35CD2" w:rsidRPr="003025F6">
        <w:t xml:space="preserve"> and will require relearning all the indicator numbers. </w:t>
      </w:r>
      <w:r w:rsidR="000640E9" w:rsidRPr="003025F6">
        <w:t>For GRI experts who’ve learned the current numbering system by heart, this could be a bit annoying!</w:t>
      </w:r>
    </w:p>
    <w:p w14:paraId="24ECC740" w14:textId="389741C9" w:rsidR="00577268" w:rsidRPr="003025F6" w:rsidRDefault="00E338AD" w:rsidP="003025F6">
      <w:pPr>
        <w:pStyle w:val="body-new"/>
      </w:pPr>
      <w:r w:rsidRPr="002B10C6">
        <w:rPr>
          <w:b/>
        </w:rPr>
        <w:t>Lots of small tweaks to reporting requirements.</w:t>
      </w:r>
      <w:r w:rsidRPr="003025F6">
        <w:t xml:space="preserve"> Under the Standards, there are enough small changes to indicator requirements that reporters and report users will need to do a careful read of all the indicators and </w:t>
      </w:r>
      <w:r w:rsidR="001402C2" w:rsidRPr="003025F6">
        <w:t>align</w:t>
      </w:r>
      <w:r w:rsidRPr="003025F6">
        <w:t xml:space="preserve"> existing report content to tweaks in the requirements. Given that the overall substance of the reporting requirements hasn’t changed that much, this may feel like a lot of work for </w:t>
      </w:r>
      <w:bookmarkStart w:id="0" w:name="_GoBack"/>
      <w:bookmarkEnd w:id="0"/>
      <w:r w:rsidRPr="003025F6">
        <w:t xml:space="preserve">little gain. </w:t>
      </w:r>
    </w:p>
    <w:sectPr w:rsidR="00577268" w:rsidRPr="003025F6" w:rsidSect="00C12D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C0B80" w14:textId="77777777" w:rsidR="00275DEF" w:rsidRDefault="00275DEF" w:rsidP="00690917">
      <w:pPr>
        <w:spacing w:after="0" w:line="240" w:lineRule="auto"/>
      </w:pPr>
      <w:r>
        <w:separator/>
      </w:r>
    </w:p>
  </w:endnote>
  <w:endnote w:type="continuationSeparator" w:id="0">
    <w:p w14:paraId="6F9C8DA5" w14:textId="77777777" w:rsidR="00275DEF" w:rsidRDefault="00275DEF" w:rsidP="0069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Helvetica Light">
    <w:charset w:val="00"/>
    <w:family w:val="auto"/>
    <w:pitch w:val="variable"/>
    <w:sig w:usb0="00000003" w:usb1="00000000" w:usb2="00000000" w:usb3="00000000" w:csb0="00000001" w:csb1="00000000"/>
  </w:font>
  <w:font w:name="95 Helvetica Black">
    <w:charset w:val="00"/>
    <w:family w:val="auto"/>
    <w:pitch w:val="variable"/>
    <w:sig w:usb0="00000003" w:usb1="00000000" w:usb2="00000000" w:usb3="00000000" w:csb0="00000001" w:csb1="00000000"/>
  </w:font>
  <w:font w:name="LB Helvetica Black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9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E6422" w14:textId="3EFD8F32" w:rsidR="00F04474" w:rsidRDefault="00F04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D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1D957C" w14:textId="4B3EEA46" w:rsidR="00B24769" w:rsidRPr="004F4F74" w:rsidRDefault="00B24769" w:rsidP="00690917">
    <w:pPr>
      <w:pStyle w:val="Footer"/>
      <w:jc w:val="right"/>
      <w:rPr>
        <w:color w:val="2693B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D489" w14:textId="77777777" w:rsidR="00275DEF" w:rsidRDefault="00275DEF" w:rsidP="00690917">
      <w:pPr>
        <w:spacing w:after="0" w:line="240" w:lineRule="auto"/>
      </w:pPr>
      <w:r>
        <w:separator/>
      </w:r>
    </w:p>
  </w:footnote>
  <w:footnote w:type="continuationSeparator" w:id="0">
    <w:p w14:paraId="4A1280E3" w14:textId="77777777" w:rsidR="00275DEF" w:rsidRDefault="00275DEF" w:rsidP="0069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D362" w14:textId="619C5BBF" w:rsidR="00B24769" w:rsidRDefault="00B247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B56A0" wp14:editId="5B804C60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828800" cy="738505"/>
          <wp:effectExtent l="0" t="0" r="0" b="0"/>
          <wp:wrapSquare wrapText="bothSides"/>
          <wp:docPr id="3" name="Picture 2" descr="Lyndell's Hardrive:Users:Lyndell:Desktop:clients:buzzword 2012:logo files:logo for client:Buzzword-logo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yndell's Hardrive:Users:Lyndell:Desktop:clients:buzzword 2012:logo files:logo for client:Buzzword-logo-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94E99" w14:textId="77777777" w:rsidR="00B24769" w:rsidRDefault="00B24769">
    <w:pPr>
      <w:pStyle w:val="Header"/>
    </w:pPr>
  </w:p>
  <w:p w14:paraId="0DA91256" w14:textId="77777777" w:rsidR="00B24769" w:rsidRDefault="00B24769">
    <w:pPr>
      <w:pStyle w:val="Header"/>
    </w:pPr>
  </w:p>
  <w:p w14:paraId="4CC2BF18" w14:textId="77777777" w:rsidR="00B51986" w:rsidRDefault="00B51986">
    <w:pPr>
      <w:pStyle w:val="Header"/>
    </w:pPr>
  </w:p>
  <w:p w14:paraId="6629CA17" w14:textId="77777777" w:rsidR="00B51986" w:rsidRDefault="00B51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63D"/>
    <w:multiLevelType w:val="hybridMultilevel"/>
    <w:tmpl w:val="9B00C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B3404"/>
    <w:multiLevelType w:val="hybridMultilevel"/>
    <w:tmpl w:val="879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13F2"/>
    <w:multiLevelType w:val="hybridMultilevel"/>
    <w:tmpl w:val="A3D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5476"/>
    <w:multiLevelType w:val="hybridMultilevel"/>
    <w:tmpl w:val="1D9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715"/>
    <w:rsid w:val="00047431"/>
    <w:rsid w:val="0005549E"/>
    <w:rsid w:val="000640E9"/>
    <w:rsid w:val="0007179F"/>
    <w:rsid w:val="00075E4F"/>
    <w:rsid w:val="000948C2"/>
    <w:rsid w:val="000C3838"/>
    <w:rsid w:val="001402C2"/>
    <w:rsid w:val="001C5F0F"/>
    <w:rsid w:val="002577C4"/>
    <w:rsid w:val="00261637"/>
    <w:rsid w:val="00275DEF"/>
    <w:rsid w:val="002B10C6"/>
    <w:rsid w:val="002C2BAF"/>
    <w:rsid w:val="003025F6"/>
    <w:rsid w:val="00306D6E"/>
    <w:rsid w:val="003678AE"/>
    <w:rsid w:val="003964A3"/>
    <w:rsid w:val="00396BEC"/>
    <w:rsid w:val="003A0797"/>
    <w:rsid w:val="003B7DB6"/>
    <w:rsid w:val="003F0181"/>
    <w:rsid w:val="00467579"/>
    <w:rsid w:val="00471FD0"/>
    <w:rsid w:val="004B0686"/>
    <w:rsid w:val="004F4F74"/>
    <w:rsid w:val="005771D9"/>
    <w:rsid w:val="00577268"/>
    <w:rsid w:val="005C025F"/>
    <w:rsid w:val="005F10B0"/>
    <w:rsid w:val="00646262"/>
    <w:rsid w:val="00690917"/>
    <w:rsid w:val="006B3C24"/>
    <w:rsid w:val="006D3E87"/>
    <w:rsid w:val="006E5224"/>
    <w:rsid w:val="007177D6"/>
    <w:rsid w:val="007908AC"/>
    <w:rsid w:val="007A1516"/>
    <w:rsid w:val="007E3ABA"/>
    <w:rsid w:val="0085004E"/>
    <w:rsid w:val="008A53F1"/>
    <w:rsid w:val="008E425B"/>
    <w:rsid w:val="008E5D59"/>
    <w:rsid w:val="008E68C1"/>
    <w:rsid w:val="008F4599"/>
    <w:rsid w:val="009126D4"/>
    <w:rsid w:val="00912AA3"/>
    <w:rsid w:val="009402EE"/>
    <w:rsid w:val="009543AB"/>
    <w:rsid w:val="00960C9A"/>
    <w:rsid w:val="0097295A"/>
    <w:rsid w:val="00975D32"/>
    <w:rsid w:val="009E0CFF"/>
    <w:rsid w:val="00A462A6"/>
    <w:rsid w:val="00A662AA"/>
    <w:rsid w:val="00AA4A52"/>
    <w:rsid w:val="00AB42E4"/>
    <w:rsid w:val="00B0146B"/>
    <w:rsid w:val="00B24769"/>
    <w:rsid w:val="00B3457D"/>
    <w:rsid w:val="00B35CD2"/>
    <w:rsid w:val="00B51986"/>
    <w:rsid w:val="00B8467C"/>
    <w:rsid w:val="00BB1558"/>
    <w:rsid w:val="00BE0935"/>
    <w:rsid w:val="00C12DEF"/>
    <w:rsid w:val="00C521D4"/>
    <w:rsid w:val="00C67F27"/>
    <w:rsid w:val="00D900E4"/>
    <w:rsid w:val="00DB4473"/>
    <w:rsid w:val="00DC2DAF"/>
    <w:rsid w:val="00E338AD"/>
    <w:rsid w:val="00EB3107"/>
    <w:rsid w:val="00EB4371"/>
    <w:rsid w:val="00EC08B4"/>
    <w:rsid w:val="00F04474"/>
    <w:rsid w:val="00F52B16"/>
    <w:rsid w:val="00F54E4D"/>
    <w:rsid w:val="00FA5674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F29B5"/>
  <w15:docId w15:val="{3E1C3D0C-A1F0-49DC-982A-6259A82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4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17"/>
  </w:style>
  <w:style w:type="paragraph" w:styleId="Footer">
    <w:name w:val="footer"/>
    <w:basedOn w:val="Normal"/>
    <w:link w:val="FooterChar"/>
    <w:uiPriority w:val="99"/>
    <w:unhideWhenUsed/>
    <w:rsid w:val="0069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17"/>
  </w:style>
  <w:style w:type="character" w:customStyle="1" w:styleId="Heading1Char">
    <w:name w:val="Heading 1 Char"/>
    <w:basedOn w:val="DefaultParagraphFont"/>
    <w:link w:val="Heading1"/>
    <w:uiPriority w:val="9"/>
    <w:rsid w:val="00AB42E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body-new">
    <w:name w:val="body-new"/>
    <w:basedOn w:val="Normal"/>
    <w:qFormat/>
    <w:rsid w:val="003025F6"/>
    <w:pPr>
      <w:spacing w:line="360" w:lineRule="auto"/>
    </w:pPr>
    <w:rPr>
      <w:rFonts w:ascii="Helvetica" w:hAnsi="Helvetica"/>
      <w:color w:val="000000" w:themeColor="text1"/>
    </w:rPr>
  </w:style>
  <w:style w:type="paragraph" w:customStyle="1" w:styleId="Header1">
    <w:name w:val="Header1"/>
    <w:basedOn w:val="body-new"/>
    <w:qFormat/>
    <w:rsid w:val="003025F6"/>
    <w:pPr>
      <w:spacing w:line="276" w:lineRule="auto"/>
    </w:pPr>
    <w:rPr>
      <w:rFonts w:ascii="L Helvetica Light" w:hAnsi="L Helvetica Light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base.globalreport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B48A-4DE2-4780-B889-0BAE25E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Dimond</dc:creator>
  <cp:keywords/>
  <dc:description/>
  <cp:lastModifiedBy>Leah Haygood</cp:lastModifiedBy>
  <cp:revision>3</cp:revision>
  <cp:lastPrinted>2017-05-18T01:15:00Z</cp:lastPrinted>
  <dcterms:created xsi:type="dcterms:W3CDTF">2017-07-14T14:03:00Z</dcterms:created>
  <dcterms:modified xsi:type="dcterms:W3CDTF">2017-07-14T14:03:00Z</dcterms:modified>
</cp:coreProperties>
</file>