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72" w:rsidRDefault="00600C7B" w:rsidP="00600C7B">
      <w:r>
        <w:t>English Language Arts Third Grade</w: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color w:val="131313"/>
          <w:sz w:val="24"/>
          <w:szCs w:val="24"/>
        </w:rPr>
        <w:t>View the Grade 3 English Language Arts Florida Standards and resources for parents and students at </w:t>
      </w:r>
      <w:hyperlink r:id="rId4" w:tgtFrame="_blank" w:history="1">
        <w:r w:rsidRPr="00600C7B">
          <w:rPr>
            <w:rFonts w:ascii="Arial" w:eastAsia="Times New Roman" w:hAnsi="Arial" w:cs="Arial"/>
            <w:color w:val="305C8A"/>
            <w:sz w:val="24"/>
            <w:szCs w:val="24"/>
            <w:u w:val="single"/>
          </w:rPr>
          <w:t>http://www.cpalms.org/Public/Search/CriteriaSearch?search=Standards&amp;subjectId=39&amp;gradeId=8</w:t>
        </w:r>
      </w:hyperlink>
      <w:r w:rsidRPr="00600C7B">
        <w:rPr>
          <w:rFonts w:ascii="Arial" w:eastAsia="Times New Roman" w:hAnsi="Arial" w:cs="Arial"/>
          <w:color w:val="131313"/>
          <w:sz w:val="24"/>
          <w:szCs w:val="24"/>
        </w:rPr>
        <w:t>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57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Demonstrate command of the conventions of </w:t>
      </w:r>
      <w:proofErr w:type="gramStart"/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standard</w:t>
      </w:r>
      <w:proofErr w:type="gramEnd"/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 English grammar and usage when writing or speaking.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Demonstrate beginning cursive writing skills.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</w:r>
      <w:proofErr w:type="gramStart"/>
      <w:r w:rsidRPr="00600C7B">
        <w:rPr>
          <w:rFonts w:ascii="Arial" w:eastAsia="Times New Roman" w:hAnsi="Arial" w:cs="Arial"/>
          <w:color w:val="131313"/>
          <w:sz w:val="24"/>
          <w:szCs w:val="24"/>
        </w:rPr>
        <w:t>b</w:t>
      </w:r>
      <w:proofErr w:type="gramEnd"/>
      <w:r w:rsidRPr="00600C7B">
        <w:rPr>
          <w:rFonts w:ascii="Arial" w:eastAsia="Times New Roman" w:hAnsi="Arial" w:cs="Arial"/>
          <w:color w:val="131313"/>
          <w:sz w:val="24"/>
          <w:szCs w:val="24"/>
        </w:rPr>
        <w:t>. Explain the function of nouns, pronouns, verbs, adjectives, and adverbs in general and their functions in particular sentences.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c. Form and use regular and irregular plural nouns.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d. Use abstract nouns (e.g., childhood, friendship, courage).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e. Form and use regular and irregular verbs.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f. Form and use the simple (e.g., I walked; I walk; I will walk) verb tenses.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g. Ensure subject-verb and pronoun-antecedent agreement.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h. Form and use comparative and superlative adjectives and adverbs, and choose between them depending on what is to be modified.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i. Use coordinating and subordinating conjunctions.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j. Produce simple, compound, and complex sentences.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58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Demonstrate command of the conventions of </w:t>
      </w:r>
      <w:proofErr w:type="gramStart"/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standard</w:t>
      </w:r>
      <w:proofErr w:type="gramEnd"/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 English capitalization, punctuation, and spelling when writing.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Capitalize appropriate words in titles.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b. Use commas in addresses.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c. Use commas and quotation marks in dialogue.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d. Form and use possessives.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e. Use conventional spelling for high-frequency and other studied words and for adding suffixes to base words (e.g., sitting, smiled, cries, happiness).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f. Use spelling patterns and generalizations (e.g., word families, position-based spellings, syllable patterns, ending rules, meaningful word parts) in writing words.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g. Consult reference materials, including beginning dictionaries, as needed to check and correct spellings.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59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Use knowledge of language and its conventions when writing, speaking, reading, or listening.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Choose words and phrases for effect.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 xml:space="preserve">b. Recognize and observe differences between the conventions of spoken and written </w:t>
      </w:r>
      <w:proofErr w:type="gramStart"/>
      <w:r w:rsidRPr="00600C7B">
        <w:rPr>
          <w:rFonts w:ascii="Arial" w:eastAsia="Times New Roman" w:hAnsi="Arial" w:cs="Arial"/>
          <w:color w:val="131313"/>
          <w:sz w:val="24"/>
          <w:szCs w:val="24"/>
        </w:rPr>
        <w:t>standard</w:t>
      </w:r>
      <w:proofErr w:type="gramEnd"/>
      <w:r w:rsidRPr="00600C7B">
        <w:rPr>
          <w:rFonts w:ascii="Arial" w:eastAsia="Times New Roman" w:hAnsi="Arial" w:cs="Arial"/>
          <w:color w:val="131313"/>
          <w:sz w:val="24"/>
          <w:szCs w:val="24"/>
        </w:rPr>
        <w:t xml:space="preserve"> English.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2060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Determine or clarify the meaning of unknown and multiple-meaning word and phrases based on grade 3 reading and content, choosing flexibly from a range of strategies.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Use sentence-level context as a clue to the meaning of a word or phrase.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b. Determine the meaning of the new word formed when a known affix is added to a known word (e.g., agreeable/disagreeable, comfortable/uncomfortable, care/careless, heat/preheat).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c. Use a known root word as a clue to the meaning of an unknown word with the same root (e.g., company, companion).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d. Use glossaries or beginning dictionaries, both print and digital, to determine or clarify the precise meaning of key words and phrases.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61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Demonstrate understanding of word relationships and nuances in word meanings.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Distinguish the literal and nonliteral meanings of words and phrases in context (e.g., take steps).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b. Identify real-life connections between words and their use (e.g., describe people who are friendly or helpful).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c. Distinguish shades of meaning among related words that describe states of mind or degrees of certainty (e.g., knew, believed, suspected, heard, wondered).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62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Acquire and use accurately conversational, general academic, and domain specific words and phrases as found in grade appropriate texts, including those that signal spatial and temporal relationships (e.g., </w:t>
      </w:r>
      <w:proofErr w:type="gramStart"/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After</w:t>
      </w:r>
      <w:proofErr w:type="gramEnd"/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 dinner that night we went looking for them).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63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Know and apply grade-level phonics and word analysis skills in decoding words.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Identify and know the meaning of the most common prefixes and derivational suffixes.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b. Decode words with common Latin suffixes.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 xml:space="preserve">c. Decode </w:t>
      </w:r>
      <w:proofErr w:type="spellStart"/>
      <w:r w:rsidRPr="00600C7B">
        <w:rPr>
          <w:rFonts w:ascii="Arial" w:eastAsia="Times New Roman" w:hAnsi="Arial" w:cs="Arial"/>
          <w:color w:val="131313"/>
          <w:sz w:val="24"/>
          <w:szCs w:val="24"/>
        </w:rPr>
        <w:t>multisyllable</w:t>
      </w:r>
      <w:proofErr w:type="spellEnd"/>
      <w:r w:rsidRPr="00600C7B">
        <w:rPr>
          <w:rFonts w:ascii="Arial" w:eastAsia="Times New Roman" w:hAnsi="Arial" w:cs="Arial"/>
          <w:color w:val="131313"/>
          <w:sz w:val="24"/>
          <w:szCs w:val="24"/>
        </w:rPr>
        <w:t xml:space="preserve"> words.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d. Read grade-appropriate irregularly spelled words.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64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Read with sufficient accuracy and fluency to support comprehension.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Read on-level text with purpose and understanding.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 xml:space="preserve">b. Read on-level prose and poetry orally with accuracy, appropriate rate, and 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lastRenderedPageBreak/>
        <w:t>expression on successive readings.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c. Use context to confirm or self-correct word recognition and understanding, rereading as necessary.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65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Ask and answer questions to demonstrate understanding of a text, referring explicitly to the text as the basis for the answers.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66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Determine the main idea of a text; recount the key details and explain how they support the main idea.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67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Describe the relationship between a series of historical events, scientific ideas or concepts, or steps in technical procedures in a text, using language that pertains to time, sequence, and cause/effect.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68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Determine the meaning of general academic and domain-specific words and phrases in a text relevant to a grade 3 topic or subject area.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69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Use text features and search tools (e.g., key words, sidebars, hyperlinks) to locate information relevant to a given topic efficiently.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70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Distinguish their own point of view from that of the author of a text.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71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Use information gained from illustrations (e.g., maps, photographs) and the words in a text to demonstrate understanding of the text (e.g., where, when, why, and how key events occur).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72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Describe the logical connection between particular sentences and paragraphs in a text (e.g., comparison, cause/effect, first/second/third in a sequence).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73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lastRenderedPageBreak/>
        <w:t>Compare and contrast the most important points and key details presented in two texts on the same topic.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74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By the end of the year, read and comprehend informational texts, including history/social studies, science, and technical texts, at the high end of the grades 2–3 text complexity band independently and proficiently.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75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Ask and answer questions to demonstrate understanding of a text, referring explicitly to the text as the basis for the answers.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76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Recount stories, including fables, folktales, and myths from diverse cultures; determine the central message, lesson, or moral and explain how it is conveyed through key details in the text.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77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Describe characters in a story (e.g., their traits, motivations, or feelings) and explain how their actions contribute to the sequence of events.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78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Determine the meaning of words and phrases as they are used in a text, distinguishing literal from nonliteral language.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79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Refer to parts of stories, dramas, and poems when writing or speaking about a text, using terms such as chapter, scene, and stanza; describe how each successive part builds on earlier sections.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80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Distinguish their own point of view from that of the narrator or those of the characters.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81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Explain how specific aspects of a text’s illustrations contribute to what is conveyed by the words in a story (e.g., create mood, emphasize aspects of a character or setting).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2082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Compare and contrast the themes, settings, and plots of stories written by the same author about the same or similar characters (e.g., in books from a series).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83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By the end of the year, read and comprehend literature, including stories, dramas, and poetry, at the high end of the grades 2–3 text complexity band independently and proficiently.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84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Engage effectively in a range of collaborative discussions (one-on-one, in groups, and teacher-led) with diverse partners on grade 3 topics and texts, building on others’ ideas and expressing their own clearly.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Come to discussions prepared, having read or studied required material; explicitly draw on that preparation and other information known about the topic to explore ideas under discussion.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b. Follow agreed-upon rules for discussions (e.g., gaining the floor in respectful ways, listening to others with care, speaking one at a time about the topics and texts under discussion).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c. Ask questions to check understanding of information presented, stay on topic, and link their comments to the remarks of others.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d. Explain their own ideas and understanding in light of the discussion.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85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Determine the main ideas and supporting details of a text read aloud or information presented in diverse media and formats, including visually, quantitatively, and orally.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86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Ask and answer questions about information from a speaker, offering appropriate elaboration and detail.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87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Report on a topic or text, tell a story, or recount an experience with appropriate facts and relevant, descriptive details, speaking clearly at an understandable pace.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88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lastRenderedPageBreak/>
        <w:t>Demonstrate fluid reading at an understandable pace, adding visual displays and engaging audio recordings when appropriate to emphasize or enhance certain facts or details.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89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Speak in complete sentences when appropriate to task and situation in order to provide requested detail or clarification.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90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Write opinion pieces on topics or texts, supporting a point of view with reasons.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Introduce the topic or text they are writing about, state an opinion, and create an organizational structure that lists reasons.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</w:r>
      <w:proofErr w:type="gramStart"/>
      <w:r w:rsidRPr="00600C7B">
        <w:rPr>
          <w:rFonts w:ascii="Arial" w:eastAsia="Times New Roman" w:hAnsi="Arial" w:cs="Arial"/>
          <w:color w:val="131313"/>
          <w:sz w:val="24"/>
          <w:szCs w:val="24"/>
        </w:rPr>
        <w:t>b</w:t>
      </w:r>
      <w:proofErr w:type="gramEnd"/>
      <w:r w:rsidRPr="00600C7B">
        <w:rPr>
          <w:rFonts w:ascii="Arial" w:eastAsia="Times New Roman" w:hAnsi="Arial" w:cs="Arial"/>
          <w:color w:val="131313"/>
          <w:sz w:val="24"/>
          <w:szCs w:val="24"/>
        </w:rPr>
        <w:t>. Provide reasons that support the opinion.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c. Use linking words and phrases (e.g., because, therefore, since, for example) to connect opinion and reasons.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d. Provide a concluding statement or section.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91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Write informative/explanatory texts to examine a topic and convey ideas and information clearly.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Introduce a topic and group related information together; include illustrations when useful to aiding comprehension.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b. Develop the topic with facts, definitions, and details.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c. Use linking words and phrases (e.g., also, another, and, more, but) to connect ideas within categories of information.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d. Provide a concluding statement or section.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92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Write narratives to develop real or imagined experiences or events using effective technique, descriptive details, and clear event sequences.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a. Establish a situation and introduce a narrator and/or characters; organize an event sequence that unfolds naturally.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b. Use dialogue and descriptions of actions, thoughts, and feelings to develop experiences and events or show the response of characters to situations.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c. Use temporal words and phrases to signal event order.</w:t>
      </w:r>
      <w:r w:rsidRPr="00600C7B">
        <w:rPr>
          <w:rFonts w:ascii="Arial" w:eastAsia="Times New Roman" w:hAnsi="Arial" w:cs="Arial"/>
          <w:color w:val="131313"/>
          <w:sz w:val="24"/>
          <w:szCs w:val="24"/>
        </w:rPr>
        <w:br/>
        <w:t>d. Provide a sense of closure.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93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With guidance and support from adults, produce writing in which the development and organization are appropriate to task and purpose. (Grade-</w:t>
      </w: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lastRenderedPageBreak/>
        <w:t>specific expectations for writing types are defined in the three standards directly above.)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94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With guidance and support from peers and adults, develop and strengthen writing as needed by planning, revising, and editing.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95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With guidance and support from adults, use technology to produce and publish writing (using keyboarding skills) as well as to interact and collaborate with others.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96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Conduct short research projects that build knowledge about a topic.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97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Recall information from experiences or gather information from print and digital sources; take brief notes on sources and sort evidence into provided categories.</w:t>
      </w:r>
    </w:p>
    <w:p w:rsidR="00600C7B" w:rsidRP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pict>
          <v:rect id="_x0000_i2098" style="width:0;height:0" o:hralign="center" o:hrstd="t" o:hrnoshade="t" o:hr="t" fillcolor="#131313" stroked="f"/>
        </w:pict>
      </w:r>
    </w:p>
    <w:p w:rsidR="00600C7B" w:rsidRPr="00600C7B" w:rsidRDefault="00600C7B" w:rsidP="00600C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600C7B">
        <w:rPr>
          <w:rFonts w:ascii="Arial" w:eastAsia="Times New Roman" w:hAnsi="Arial" w:cs="Arial"/>
          <w:b/>
          <w:bCs/>
          <w:color w:val="131313"/>
          <w:sz w:val="24"/>
          <w:szCs w:val="24"/>
        </w:rPr>
        <w:t>Write routinely over extended time frames (time for research, reflection, and revision) and shorter time frames (a single sitting or a day or two) for a range of discipline-specific tasks, purposes, and audiences.</w:t>
      </w:r>
    </w:p>
    <w:p w:rsidR="00600C7B" w:rsidRPr="00600C7B" w:rsidRDefault="00600C7B" w:rsidP="00600C7B">
      <w:bookmarkStart w:id="0" w:name="_GoBack"/>
      <w:bookmarkEnd w:id="0"/>
    </w:p>
    <w:sectPr w:rsidR="00600C7B" w:rsidRPr="0060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BB"/>
    <w:rsid w:val="001234C4"/>
    <w:rsid w:val="00245872"/>
    <w:rsid w:val="00443542"/>
    <w:rsid w:val="005E3AFC"/>
    <w:rsid w:val="00600C7B"/>
    <w:rsid w:val="00821B83"/>
    <w:rsid w:val="00C443B8"/>
    <w:rsid w:val="00C54760"/>
    <w:rsid w:val="00C56C7B"/>
    <w:rsid w:val="00CC33F7"/>
    <w:rsid w:val="00DC6B3C"/>
    <w:rsid w:val="00E70DBB"/>
    <w:rsid w:val="00EC04A4"/>
    <w:rsid w:val="00F00647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68B83-7E51-42F2-A927-E37DB4F1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0D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alms.org/Public/Search/CriteriaSearch?search=Standards&amp;subjectId=39&amp;gradeId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Kaizsa</dc:creator>
  <cp:keywords/>
  <dc:description/>
  <cp:lastModifiedBy>Grant, Kaizsa</cp:lastModifiedBy>
  <cp:revision>2</cp:revision>
  <dcterms:created xsi:type="dcterms:W3CDTF">2019-01-14T18:10:00Z</dcterms:created>
  <dcterms:modified xsi:type="dcterms:W3CDTF">2019-01-14T18:10:00Z</dcterms:modified>
</cp:coreProperties>
</file>