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4A5C" w14:textId="77777777" w:rsidR="00EC49CF" w:rsidRPr="0047588C" w:rsidRDefault="00EC49CF" w:rsidP="00EC49CF">
      <w:pPr>
        <w:pStyle w:val="Default"/>
        <w:rPr>
          <w:rFonts w:ascii="Times New Roman" w:hAnsi="Times New Roman" w:cs="Times New Roman"/>
          <w:sz w:val="23"/>
          <w:szCs w:val="23"/>
        </w:rPr>
      </w:pPr>
      <w:bookmarkStart w:id="0" w:name="_GoBack"/>
      <w:bookmarkEnd w:id="0"/>
    </w:p>
    <w:p w14:paraId="60C6869C" w14:textId="77777777" w:rsidR="00EC49CF" w:rsidRPr="0047588C" w:rsidRDefault="00EC49CF" w:rsidP="00EC49CF">
      <w:pPr>
        <w:pStyle w:val="Default"/>
        <w:rPr>
          <w:rFonts w:ascii="Times New Roman" w:hAnsi="Times New Roman" w:cs="Times New Roman"/>
          <w:color w:val="auto"/>
          <w:sz w:val="23"/>
          <w:szCs w:val="23"/>
        </w:rPr>
      </w:pPr>
    </w:p>
    <w:p w14:paraId="3B26EAAF" w14:textId="77777777" w:rsidR="00EC49CF" w:rsidRPr="0047588C" w:rsidRDefault="00EC49CF" w:rsidP="00EC49CF">
      <w:pPr>
        <w:pStyle w:val="Default"/>
        <w:rPr>
          <w:rFonts w:ascii="Times New Roman" w:hAnsi="Times New Roman" w:cs="Times New Roman"/>
          <w:b/>
          <w:bCs/>
          <w:color w:val="auto"/>
          <w:sz w:val="23"/>
          <w:szCs w:val="23"/>
        </w:rPr>
      </w:pPr>
      <w:r w:rsidRPr="0047588C">
        <w:rPr>
          <w:rFonts w:ascii="Times New Roman" w:hAnsi="Times New Roman" w:cs="Times New Roman"/>
          <w:b/>
          <w:bCs/>
          <w:color w:val="auto"/>
          <w:sz w:val="23"/>
          <w:szCs w:val="23"/>
        </w:rPr>
        <w:t xml:space="preserve">Technical Description of the Freddie Mac House Price Index </w:t>
      </w:r>
    </w:p>
    <w:p w14:paraId="5F061782" w14:textId="77777777" w:rsidR="00EC49CF" w:rsidRPr="0047588C" w:rsidRDefault="00EC49CF" w:rsidP="00EC49CF">
      <w:pPr>
        <w:pStyle w:val="Default"/>
        <w:rPr>
          <w:rFonts w:ascii="Times New Roman" w:hAnsi="Times New Roman" w:cs="Times New Roman"/>
          <w:color w:val="auto"/>
          <w:sz w:val="23"/>
          <w:szCs w:val="23"/>
        </w:rPr>
      </w:pPr>
    </w:p>
    <w:p w14:paraId="07C0D190" w14:textId="77777777" w:rsidR="00EC49CF" w:rsidRDefault="00EC49CF" w:rsidP="003A656F">
      <w:pPr>
        <w:pStyle w:val="Default"/>
        <w:numPr>
          <w:ilvl w:val="0"/>
          <w:numId w:val="1"/>
        </w:numPr>
        <w:rPr>
          <w:rFonts w:ascii="Times New Roman" w:hAnsi="Times New Roman" w:cs="Times New Roman"/>
          <w:b/>
          <w:bCs/>
          <w:color w:val="auto"/>
          <w:sz w:val="23"/>
          <w:szCs w:val="23"/>
        </w:rPr>
      </w:pPr>
      <w:r w:rsidRPr="0047588C">
        <w:rPr>
          <w:rFonts w:ascii="Times New Roman" w:hAnsi="Times New Roman" w:cs="Times New Roman"/>
          <w:b/>
          <w:bCs/>
          <w:color w:val="auto"/>
          <w:sz w:val="23"/>
          <w:szCs w:val="23"/>
        </w:rPr>
        <w:t xml:space="preserve">Introduction </w:t>
      </w:r>
    </w:p>
    <w:p w14:paraId="0B34340B" w14:textId="77777777" w:rsidR="003A656F" w:rsidRPr="0047588C" w:rsidRDefault="003A656F" w:rsidP="003A656F">
      <w:pPr>
        <w:pStyle w:val="Default"/>
        <w:ind w:left="720"/>
        <w:rPr>
          <w:rFonts w:ascii="Times New Roman" w:hAnsi="Times New Roman" w:cs="Times New Roman"/>
          <w:color w:val="auto"/>
          <w:sz w:val="23"/>
          <w:szCs w:val="23"/>
        </w:rPr>
      </w:pPr>
    </w:p>
    <w:p w14:paraId="6CBD3C58"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Freddie Mac publishes the monthly index values of the Freddie Mac House Price Index (FMHPI</w:t>
      </w:r>
      <w:r w:rsidRPr="0047588C">
        <w:rPr>
          <w:rFonts w:ascii="Times New Roman" w:hAnsi="Times New Roman" w:cs="Times New Roman"/>
          <w:color w:val="auto"/>
          <w:sz w:val="23"/>
          <w:szCs w:val="23"/>
          <w:vertAlign w:val="superscript"/>
        </w:rPr>
        <w:t>SM</w:t>
      </w:r>
      <w:r w:rsidRPr="0047588C">
        <w:rPr>
          <w:rFonts w:ascii="Times New Roman" w:hAnsi="Times New Roman" w:cs="Times New Roman"/>
          <w:color w:val="auto"/>
          <w:sz w:val="23"/>
          <w:szCs w:val="23"/>
        </w:rPr>
        <w:t>) each quarter. Index values are available for the nation</w:t>
      </w:r>
      <w:r w:rsidRPr="00B23F03">
        <w:rPr>
          <w:rFonts w:ascii="Times New Roman" w:hAnsi="Times New Roman" w:cs="Times New Roman"/>
          <w:color w:val="auto"/>
          <w:sz w:val="23"/>
          <w:szCs w:val="23"/>
        </w:rPr>
        <w:t xml:space="preserve">, </w:t>
      </w:r>
      <w:r w:rsidRPr="0047588C">
        <w:rPr>
          <w:rFonts w:ascii="Times New Roman" w:hAnsi="Times New Roman" w:cs="Times New Roman"/>
          <w:color w:val="auto"/>
          <w:sz w:val="23"/>
          <w:szCs w:val="23"/>
        </w:rPr>
        <w:t>the 50 states and the District of Columbia, and the more than 380 metropolitan statistical areas (MSAs) in the U.S.</w:t>
      </w:r>
    </w:p>
    <w:p w14:paraId="32C0FE92" w14:textId="77777777" w:rsidR="00EC49CF" w:rsidRPr="0047588C" w:rsidRDefault="00EC49CF" w:rsidP="00EC49CF">
      <w:pPr>
        <w:pStyle w:val="Default"/>
        <w:rPr>
          <w:rFonts w:ascii="Times New Roman" w:hAnsi="Times New Roman" w:cs="Times New Roman"/>
          <w:color w:val="auto"/>
          <w:sz w:val="23"/>
          <w:szCs w:val="23"/>
        </w:rPr>
      </w:pPr>
    </w:p>
    <w:p w14:paraId="30F2F198"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The FMHPI is constructed using a repeat transactions methodology, which has become a common practice in housing research. The FMHPI is estimated with data including transactions on single-family detached and townhome properties serving as collateral on loans originated between January 1, 1975, and the end of the most recent index month, where the loan has been purchased by Freddie Mac or Fannie Mae. </w:t>
      </w:r>
    </w:p>
    <w:p w14:paraId="732B23CA" w14:textId="77777777" w:rsidR="00EC49CF" w:rsidRPr="0047588C" w:rsidRDefault="00EC49CF" w:rsidP="00EC49CF">
      <w:pPr>
        <w:pStyle w:val="Default"/>
        <w:rPr>
          <w:rFonts w:ascii="Times New Roman" w:hAnsi="Times New Roman" w:cs="Times New Roman"/>
          <w:color w:val="auto"/>
          <w:sz w:val="23"/>
          <w:szCs w:val="23"/>
        </w:rPr>
      </w:pPr>
    </w:p>
    <w:p w14:paraId="5908F8D6"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Section 2 provides an overview of repeat transactions indices. Section 3 presents a comparison of the FMHPI and other repeat transaction house price indices. Appendix A provides a more detailed technical specification for the construction of a repeat transactions index. </w:t>
      </w:r>
    </w:p>
    <w:p w14:paraId="483F1EB4" w14:textId="77777777" w:rsidR="00EC49CF" w:rsidRPr="0047588C" w:rsidRDefault="00EC49CF" w:rsidP="00EC49CF">
      <w:pPr>
        <w:pStyle w:val="Default"/>
        <w:rPr>
          <w:rFonts w:ascii="Times New Roman" w:hAnsi="Times New Roman" w:cs="Times New Roman"/>
          <w:color w:val="auto"/>
          <w:sz w:val="23"/>
          <w:szCs w:val="23"/>
        </w:rPr>
      </w:pPr>
    </w:p>
    <w:p w14:paraId="3889CDFC" w14:textId="77777777" w:rsidR="00EC49CF" w:rsidRPr="0047588C" w:rsidRDefault="00EC49CF" w:rsidP="00EC49CF">
      <w:pPr>
        <w:pStyle w:val="Default"/>
        <w:rPr>
          <w:rFonts w:ascii="Times New Roman" w:hAnsi="Times New Roman" w:cs="Times New Roman"/>
          <w:b/>
          <w:bCs/>
          <w:color w:val="auto"/>
          <w:sz w:val="23"/>
          <w:szCs w:val="23"/>
        </w:rPr>
      </w:pPr>
      <w:r w:rsidRPr="0047588C">
        <w:rPr>
          <w:rFonts w:ascii="Times New Roman" w:hAnsi="Times New Roman" w:cs="Times New Roman"/>
          <w:b/>
          <w:bCs/>
          <w:color w:val="auto"/>
          <w:sz w:val="23"/>
          <w:szCs w:val="23"/>
        </w:rPr>
        <w:t xml:space="preserve">2. Background - Repeat Transactions Indices </w:t>
      </w:r>
    </w:p>
    <w:p w14:paraId="19B01A49" w14:textId="77777777" w:rsidR="00EC49CF" w:rsidRPr="0047588C" w:rsidRDefault="00EC49CF" w:rsidP="00EC49CF">
      <w:pPr>
        <w:pStyle w:val="Default"/>
        <w:rPr>
          <w:rFonts w:ascii="Times New Roman" w:hAnsi="Times New Roman" w:cs="Times New Roman"/>
          <w:color w:val="auto"/>
          <w:sz w:val="23"/>
          <w:szCs w:val="23"/>
        </w:rPr>
      </w:pPr>
    </w:p>
    <w:p w14:paraId="13ED1EEA"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Freddie Mac first published a repeat transaction home price index in 1994. Since then, repeat transactions methodologies have become accepted practice in the housing and real estate industries. The repeat transactions methodology has practical advantages because the most basic specification utilizes only data on house price transactions associated with property addresses. The minimal data requirement limits the costs associated with data collection across counties, states, and regions. These indices are calibrated to price appreciation, whereas median or mean price indices are direct measures of price levels. </w:t>
      </w:r>
    </w:p>
    <w:p w14:paraId="0AC7B9EC" w14:textId="77777777" w:rsidR="00EC49CF" w:rsidRPr="0047588C" w:rsidRDefault="00EC49CF" w:rsidP="00EC49CF">
      <w:pPr>
        <w:pStyle w:val="Default"/>
        <w:rPr>
          <w:rFonts w:ascii="Times New Roman" w:hAnsi="Times New Roman" w:cs="Times New Roman"/>
          <w:color w:val="auto"/>
          <w:sz w:val="23"/>
          <w:szCs w:val="23"/>
        </w:rPr>
      </w:pPr>
    </w:p>
    <w:p w14:paraId="2B344E14"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Repeat transactions indices measure price appreciation while holding constant property type and location, by comparing the price of the same property over two or more transactions. By construction, therefore, the repeat transaction requirement excludes new homes. The change in price of a given property measures the underlying rate of appreciation because basic factors such as physical location, climate, housing type, etc., are constant between transactions. </w:t>
      </w:r>
    </w:p>
    <w:p w14:paraId="10A429B7" w14:textId="77777777" w:rsidR="00EC49CF" w:rsidRPr="0047588C" w:rsidRDefault="00EC49CF" w:rsidP="00EC49CF">
      <w:pPr>
        <w:pStyle w:val="Default"/>
        <w:rPr>
          <w:rFonts w:ascii="Times New Roman" w:hAnsi="Times New Roman" w:cs="Times New Roman"/>
          <w:color w:val="auto"/>
          <w:sz w:val="23"/>
          <w:szCs w:val="23"/>
        </w:rPr>
      </w:pPr>
    </w:p>
    <w:p w14:paraId="04E0F9CC"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Significant renovation or deterioration to a property may, however, lead to higher or lower appreciation, respectively, than what results from the underlying price change of the property as it existed in the first transaction. The methodology attempts to identify and exclude such outlier properties that may influence the index away from a more accurate estimate of average property appreciation rates. Such outliers include transactions that suggest substantial physical change through renovation or deterioration, and properties that have appreciated at exceptionally large or small rates (perhaps due to data-entry errors), relative to a normal range of appreciation rates. </w:t>
      </w:r>
    </w:p>
    <w:p w14:paraId="45DBAFF2" w14:textId="77777777" w:rsidR="00EC49CF" w:rsidRPr="0047588C" w:rsidRDefault="00EC49CF" w:rsidP="00EC49CF">
      <w:pPr>
        <w:pStyle w:val="Default"/>
        <w:rPr>
          <w:rFonts w:ascii="Times New Roman" w:hAnsi="Times New Roman" w:cs="Times New Roman"/>
          <w:color w:val="auto"/>
          <w:sz w:val="23"/>
          <w:szCs w:val="23"/>
        </w:rPr>
      </w:pPr>
    </w:p>
    <w:p w14:paraId="17F9B088" w14:textId="77777777" w:rsidR="00EC49CF" w:rsidRDefault="00EC49CF" w:rsidP="00EC49CF">
      <w:pPr>
        <w:pStyle w:val="Default"/>
        <w:rPr>
          <w:rFonts w:ascii="Times New Roman" w:hAnsi="Times New Roman" w:cs="Times New Roman"/>
          <w:color w:val="auto"/>
          <w:sz w:val="22"/>
          <w:szCs w:val="22"/>
        </w:rPr>
      </w:pPr>
      <w:r w:rsidRPr="0047588C">
        <w:rPr>
          <w:rFonts w:ascii="Times New Roman" w:hAnsi="Times New Roman" w:cs="Times New Roman"/>
          <w:color w:val="auto"/>
          <w:sz w:val="23"/>
          <w:szCs w:val="23"/>
        </w:rPr>
        <w:t>The basic approach of measuring price differences over time for successive transactions for the same property is the same for all repeat transactions indices. Methodologies differ, however, according to the market coverage of the transactions sample, the inclusion or exclusion of appraisals for refinance transactions, the choice of geographic weights used to create an aggregate national index, and the details of the econometric specification.</w:t>
      </w:r>
      <w:r w:rsidRPr="003A656F">
        <w:rPr>
          <w:rFonts w:ascii="Times New Roman" w:hAnsi="Times New Roman" w:cs="Times New Roman"/>
          <w:i/>
          <w:color w:val="auto"/>
          <w:sz w:val="16"/>
          <w:szCs w:val="16"/>
        </w:rPr>
        <w:t>1</w:t>
      </w:r>
      <w:r w:rsidRPr="003A656F">
        <w:rPr>
          <w:rFonts w:ascii="Times New Roman" w:hAnsi="Times New Roman" w:cs="Times New Roman"/>
          <w:i/>
          <w:color w:val="auto"/>
          <w:sz w:val="22"/>
          <w:szCs w:val="22"/>
        </w:rPr>
        <w:t xml:space="preserve"> </w:t>
      </w:r>
    </w:p>
    <w:p w14:paraId="60F60E2C" w14:textId="77777777" w:rsidR="0047588C" w:rsidRPr="0047588C" w:rsidRDefault="0047588C" w:rsidP="00EC49CF">
      <w:pPr>
        <w:pStyle w:val="Default"/>
        <w:rPr>
          <w:rFonts w:ascii="Times New Roman" w:hAnsi="Times New Roman" w:cs="Times New Roman"/>
          <w:color w:val="auto"/>
          <w:sz w:val="22"/>
          <w:szCs w:val="22"/>
        </w:rPr>
      </w:pPr>
    </w:p>
    <w:p w14:paraId="5A8A93BC" w14:textId="77777777" w:rsidR="00EC49CF" w:rsidRDefault="00EC49CF" w:rsidP="00EC49CF">
      <w:pPr>
        <w:pStyle w:val="Default"/>
        <w:pageBreakBefore/>
        <w:rPr>
          <w:color w:val="auto"/>
          <w:sz w:val="23"/>
          <w:szCs w:val="23"/>
        </w:rPr>
      </w:pPr>
      <w:r>
        <w:rPr>
          <w:rFonts w:ascii="Times New Roman" w:hAnsi="Times New Roman" w:cs="Times New Roman"/>
          <w:color w:val="auto"/>
          <w:sz w:val="23"/>
          <w:szCs w:val="23"/>
        </w:rPr>
        <w:lastRenderedPageBreak/>
        <w:t xml:space="preserve">These differences explain disparities between index values over time, which can be significant, as methodologies will cause indices to </w:t>
      </w:r>
      <w:proofErr w:type="gramStart"/>
      <w:r>
        <w:rPr>
          <w:rFonts w:ascii="Times New Roman" w:hAnsi="Times New Roman" w:cs="Times New Roman"/>
          <w:color w:val="auto"/>
          <w:sz w:val="23"/>
          <w:szCs w:val="23"/>
        </w:rPr>
        <w:t>be more or less</w:t>
      </w:r>
      <w:proofErr w:type="gramEnd"/>
      <w:r>
        <w:rPr>
          <w:rFonts w:ascii="Times New Roman" w:hAnsi="Times New Roman" w:cs="Times New Roman"/>
          <w:color w:val="auto"/>
          <w:sz w:val="23"/>
          <w:szCs w:val="23"/>
        </w:rPr>
        <w:t xml:space="preserve"> sensitive to various aspects of housing market movements. </w:t>
      </w:r>
    </w:p>
    <w:p w14:paraId="115286C4" w14:textId="77777777" w:rsidR="00EC49CF" w:rsidRDefault="00EC49CF" w:rsidP="00EC49CF">
      <w:pPr>
        <w:pStyle w:val="Default"/>
        <w:rPr>
          <w:rFonts w:ascii="Times New Roman" w:hAnsi="Times New Roman" w:cs="Times New Roman"/>
          <w:b/>
          <w:bCs/>
          <w:i/>
          <w:iCs/>
          <w:color w:val="auto"/>
          <w:sz w:val="23"/>
          <w:szCs w:val="23"/>
        </w:rPr>
      </w:pPr>
    </w:p>
    <w:p w14:paraId="2608BD29"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Appraisal Values </w:t>
      </w:r>
    </w:p>
    <w:p w14:paraId="384D8AF6" w14:textId="77777777" w:rsidR="00EC49CF" w:rsidRDefault="00EC49CF" w:rsidP="00EC49CF">
      <w:pPr>
        <w:pStyle w:val="Default"/>
        <w:rPr>
          <w:rFonts w:ascii="Times New Roman" w:hAnsi="Times New Roman" w:cs="Times New Roman"/>
          <w:color w:val="auto"/>
          <w:sz w:val="23"/>
          <w:szCs w:val="23"/>
        </w:rPr>
      </w:pPr>
    </w:p>
    <w:p w14:paraId="11D8DAA2"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Appraisal values for refinance transactions are included in the estimation of some house price indices. Historically, appraisal valuations conducted as part of a loan refinance tend to measure value with more error than those completed in conjunction with a home purchase, as the latter benefit from the additional information of the </w:t>
      </w:r>
      <w:proofErr w:type="gramStart"/>
      <w:r>
        <w:rPr>
          <w:rFonts w:ascii="Times New Roman" w:hAnsi="Times New Roman" w:cs="Times New Roman"/>
          <w:color w:val="auto"/>
          <w:sz w:val="23"/>
          <w:szCs w:val="23"/>
        </w:rPr>
        <w:t>home-</w:t>
      </w:r>
      <w:proofErr w:type="spellStart"/>
      <w:r>
        <w:rPr>
          <w:rFonts w:ascii="Times New Roman" w:hAnsi="Times New Roman" w:cs="Times New Roman"/>
          <w:color w:val="auto"/>
          <w:sz w:val="23"/>
          <w:szCs w:val="23"/>
        </w:rPr>
        <w:t>buyer’s</w:t>
      </w:r>
      <w:proofErr w:type="spellEnd"/>
      <w:proofErr w:type="gramEnd"/>
      <w:r>
        <w:rPr>
          <w:rFonts w:ascii="Times New Roman" w:hAnsi="Times New Roman" w:cs="Times New Roman"/>
          <w:color w:val="auto"/>
          <w:sz w:val="23"/>
          <w:szCs w:val="23"/>
        </w:rPr>
        <w:t xml:space="preserve"> and home-seller’s agreed upon sales price. The inclusion of appraisal information for refinance decisions, however, can yield a far larger sample of observed housing values, which can improve the estimation of a house price index, especially at smaller geographic units where sales transactions volumes </w:t>
      </w:r>
      <w:proofErr w:type="gramStart"/>
      <w:r>
        <w:rPr>
          <w:rFonts w:ascii="Times New Roman" w:hAnsi="Times New Roman" w:cs="Times New Roman"/>
          <w:color w:val="auto"/>
          <w:sz w:val="23"/>
          <w:szCs w:val="23"/>
        </w:rPr>
        <w:t>in a given</w:t>
      </w:r>
      <w:proofErr w:type="gramEnd"/>
      <w:r>
        <w:rPr>
          <w:rFonts w:ascii="Times New Roman" w:hAnsi="Times New Roman" w:cs="Times New Roman"/>
          <w:color w:val="auto"/>
          <w:sz w:val="23"/>
          <w:szCs w:val="23"/>
        </w:rPr>
        <w:t xml:space="preserve"> period may be quite small. The decision whether to include or exclude appraisal valuations, therefore, involves a trade-off between sample size and the accuracy of a given valuation. </w:t>
      </w:r>
    </w:p>
    <w:p w14:paraId="47483578" w14:textId="77777777" w:rsidR="00EC49CF" w:rsidRDefault="00EC49CF" w:rsidP="00EC49CF">
      <w:pPr>
        <w:pStyle w:val="Default"/>
        <w:rPr>
          <w:color w:val="auto"/>
          <w:sz w:val="23"/>
          <w:szCs w:val="23"/>
        </w:rPr>
      </w:pPr>
    </w:p>
    <w:p w14:paraId="38381469"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Geographic Weights </w:t>
      </w:r>
    </w:p>
    <w:p w14:paraId="5A73D57D" w14:textId="77777777" w:rsidR="00EC49CF" w:rsidRDefault="00EC49CF" w:rsidP="00EC49CF">
      <w:pPr>
        <w:pStyle w:val="Default"/>
        <w:rPr>
          <w:rFonts w:ascii="Times New Roman" w:hAnsi="Times New Roman" w:cs="Times New Roman"/>
          <w:color w:val="auto"/>
          <w:sz w:val="23"/>
          <w:szCs w:val="23"/>
        </w:rPr>
      </w:pPr>
    </w:p>
    <w:p w14:paraId="28D1F1FB"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practice, repeat transactions indices are estimated at disaggregated geographic levels such as census regions, states, metropolitan areas, counties, or ZIP codes. These indices are then aggregated to a national index, typically by using weights based on the number of housing units or weights based on the aggregate dollar value of the properties. A raw un-weighted average reflects the relative frequency of transactions in each region in the dataset. Dollar amounts represent the value share of housing, whereas counts of housing units reflect the physical share of housing. </w:t>
      </w:r>
    </w:p>
    <w:p w14:paraId="193CEE4C" w14:textId="77777777" w:rsidR="00EC49CF" w:rsidRDefault="00EC49CF" w:rsidP="00EC49CF">
      <w:pPr>
        <w:pStyle w:val="Default"/>
        <w:rPr>
          <w:color w:val="auto"/>
          <w:sz w:val="23"/>
          <w:szCs w:val="23"/>
        </w:rPr>
      </w:pPr>
    </w:p>
    <w:p w14:paraId="518E915B"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typical unit-weighting scheme, such as that which the FHFA index employs, assigns weights according to U.S. Census Bureau counts of single-family housing units in each of nine census regions. Geographic weights correct for any over- or under-sampling that may occur in any given region due to fluctuations in transaction volumes </w:t>
      </w:r>
      <w:proofErr w:type="gramStart"/>
      <w:r>
        <w:rPr>
          <w:rFonts w:ascii="Times New Roman" w:hAnsi="Times New Roman" w:cs="Times New Roman"/>
          <w:color w:val="auto"/>
          <w:sz w:val="23"/>
          <w:szCs w:val="23"/>
        </w:rPr>
        <w:t>in a given</w:t>
      </w:r>
      <w:proofErr w:type="gramEnd"/>
      <w:r>
        <w:rPr>
          <w:rFonts w:ascii="Times New Roman" w:hAnsi="Times New Roman" w:cs="Times New Roman"/>
          <w:color w:val="auto"/>
          <w:sz w:val="23"/>
          <w:szCs w:val="23"/>
        </w:rPr>
        <w:t xml:space="preserve"> period, and results in a measure of the average price appreciation of single-family homes in the United States. This weighting scheme aims to weight appreciation equally for all homes in the country. Consider the case where there is one house in each of two hypothetical regions in the U.S. A $100,000 home in region one appreciates by 5 percent and a $1 million home in region two appreciates by 10 percent over the same time period. Each house is assigned a unit weight of 0.5 and the unit weighted index will estimate average appreciation of 7.5 percent. </w:t>
      </w:r>
    </w:p>
    <w:p w14:paraId="656B2F4A" w14:textId="77777777" w:rsidR="00EC49CF" w:rsidRDefault="00EC49CF" w:rsidP="00EC49CF">
      <w:pPr>
        <w:pStyle w:val="Default"/>
        <w:rPr>
          <w:color w:val="auto"/>
          <w:sz w:val="23"/>
          <w:szCs w:val="23"/>
        </w:rPr>
      </w:pPr>
    </w:p>
    <w:p w14:paraId="5C0224EA" w14:textId="77777777" w:rsidR="003A656F" w:rsidRDefault="00EC49CF" w:rsidP="003A656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Dollar-weighting is more appropriate for applications that are concerned with relative value shares of properties. A common dollar weight is simply the share of total housing values in each region. Considering the two-home example above, the appreciation of the home in region one will receive a weight of 0.091 and the home in region two will receive a weight of 0.909. The value-weighted index will estimate an average appreciation rate of 9.1 percent. </w:t>
      </w:r>
    </w:p>
    <w:p w14:paraId="594F0896" w14:textId="77777777" w:rsidR="003A656F" w:rsidRDefault="003A656F" w:rsidP="003A656F">
      <w:pPr>
        <w:pStyle w:val="Default"/>
        <w:rPr>
          <w:rFonts w:ascii="Times New Roman" w:hAnsi="Times New Roman" w:cs="Times New Roman"/>
          <w:color w:val="auto"/>
          <w:sz w:val="23"/>
          <w:szCs w:val="23"/>
        </w:rPr>
      </w:pPr>
    </w:p>
    <w:p w14:paraId="48094BB1" w14:textId="77777777" w:rsidR="00EC49CF" w:rsidRDefault="00EC49CF" w:rsidP="003A656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Comparison of Index Values </w:t>
      </w:r>
    </w:p>
    <w:p w14:paraId="27A9A00A" w14:textId="77777777" w:rsidR="003A656F" w:rsidRDefault="003A656F" w:rsidP="003A656F">
      <w:pPr>
        <w:pStyle w:val="Default"/>
        <w:rPr>
          <w:rFonts w:ascii="Times New Roman" w:hAnsi="Times New Roman" w:cs="Times New Roman"/>
          <w:color w:val="auto"/>
          <w:sz w:val="23"/>
          <w:szCs w:val="23"/>
        </w:rPr>
      </w:pPr>
    </w:p>
    <w:p w14:paraId="316D7833"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Each repeat transactions methodology provides a different estimate of price appreciation. </w:t>
      </w:r>
    </w:p>
    <w:p w14:paraId="4FA90AD4" w14:textId="77777777" w:rsidR="00EC49CF" w:rsidRDefault="00EC49CF" w:rsidP="00EC49CF">
      <w:pPr>
        <w:pStyle w:val="Default"/>
        <w:rPr>
          <w:rFonts w:ascii="Times New Roman" w:hAnsi="Times New Roman" w:cs="Times New Roman"/>
          <w:color w:val="auto"/>
          <w:sz w:val="23"/>
          <w:szCs w:val="23"/>
        </w:rPr>
      </w:pPr>
    </w:p>
    <w:p w14:paraId="231139BD"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3. The FMHPI and Other Commonly Referenced House Price Indices </w:t>
      </w:r>
    </w:p>
    <w:p w14:paraId="66E0CF84" w14:textId="77777777" w:rsidR="00EC49CF" w:rsidRDefault="00EC49CF" w:rsidP="00EC49CF">
      <w:pPr>
        <w:pStyle w:val="Default"/>
        <w:rPr>
          <w:color w:val="auto"/>
          <w:sz w:val="23"/>
          <w:szCs w:val="23"/>
        </w:rPr>
      </w:pPr>
    </w:p>
    <w:p w14:paraId="5985DC35" w14:textId="77777777" w:rsidR="003A656F" w:rsidRDefault="003A656F">
      <w:pPr>
        <w:rPr>
          <w:rFonts w:ascii="Times New Roman" w:hAnsi="Times New Roman" w:cs="Times New Roman"/>
          <w:b/>
          <w:bCs/>
          <w:sz w:val="23"/>
          <w:szCs w:val="23"/>
        </w:rPr>
      </w:pPr>
      <w:r>
        <w:rPr>
          <w:rFonts w:ascii="Times New Roman" w:hAnsi="Times New Roman" w:cs="Times New Roman"/>
          <w:b/>
          <w:bCs/>
          <w:sz w:val="23"/>
          <w:szCs w:val="23"/>
        </w:rPr>
        <w:br w:type="page"/>
      </w:r>
    </w:p>
    <w:p w14:paraId="7F5DD49C"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3.1 The FMHPI </w:t>
      </w:r>
    </w:p>
    <w:p w14:paraId="4DB27270" w14:textId="77777777" w:rsidR="00EC49CF" w:rsidRDefault="00EC49CF" w:rsidP="00EC49CF">
      <w:pPr>
        <w:pStyle w:val="Default"/>
        <w:rPr>
          <w:rFonts w:ascii="Times New Roman" w:hAnsi="Times New Roman" w:cs="Times New Roman"/>
          <w:color w:val="auto"/>
          <w:sz w:val="23"/>
          <w:szCs w:val="23"/>
        </w:rPr>
      </w:pPr>
    </w:p>
    <w:p w14:paraId="51DCFFA3"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FMHPI utilizes a dataset, created jointly with Fannie Mae, that forms the basis for the FMHPI as well as the standard FHFA house price indices.</w:t>
      </w:r>
      <w:r w:rsidR="00B23F03" w:rsidRPr="003A656F">
        <w:rPr>
          <w:rFonts w:ascii="Times New Roman" w:hAnsi="Times New Roman" w:cs="Times New Roman"/>
          <w:i/>
          <w:color w:val="auto"/>
          <w:sz w:val="16"/>
          <w:szCs w:val="16"/>
        </w:rPr>
        <w:t>2</w:t>
      </w:r>
      <w:r>
        <w:rPr>
          <w:rFonts w:ascii="Times New Roman" w:hAnsi="Times New Roman" w:cs="Times New Roman"/>
          <w:color w:val="auto"/>
          <w:sz w:val="23"/>
          <w:szCs w:val="23"/>
        </w:rPr>
        <w:t xml:space="preserve"> The primary differences between the FMHPI and other indices are the inclusion of some appraisal values used for refinance transactions, the choice of geographic weights, the method for identifying outliers, and the use of statistical smoothing to more efficiently estimate indices at finer geographic levels. </w:t>
      </w:r>
    </w:p>
    <w:p w14:paraId="2647FEF6" w14:textId="77777777" w:rsidR="00EC49CF" w:rsidRDefault="00EC49CF" w:rsidP="00EC49CF">
      <w:pPr>
        <w:pStyle w:val="Default"/>
        <w:rPr>
          <w:color w:val="auto"/>
          <w:sz w:val="23"/>
          <w:szCs w:val="23"/>
        </w:rPr>
      </w:pPr>
    </w:p>
    <w:p w14:paraId="330CE8AD"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Freddie Mac and Fannie Mae Dataset </w:t>
      </w:r>
    </w:p>
    <w:p w14:paraId="11470F5D" w14:textId="77777777" w:rsidR="00EC49CF" w:rsidRDefault="00EC49CF" w:rsidP="00EC49CF">
      <w:pPr>
        <w:pStyle w:val="Default"/>
        <w:rPr>
          <w:rFonts w:ascii="Times New Roman" w:hAnsi="Times New Roman" w:cs="Times New Roman"/>
          <w:color w:val="auto"/>
          <w:sz w:val="23"/>
          <w:szCs w:val="23"/>
        </w:rPr>
      </w:pPr>
    </w:p>
    <w:p w14:paraId="6E252671"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1992, Freddie Mac and Fannie Mae agreed to create a joint dataset that includes valuation and location data for the combined portfolio of loans that were purchased by either company since January 1975. This dataset is updated monthly with new purchases from the two firms. </w:t>
      </w:r>
    </w:p>
    <w:p w14:paraId="2240BE14" w14:textId="77777777" w:rsidR="00EC49CF" w:rsidRDefault="00EC49CF" w:rsidP="00EC49CF">
      <w:pPr>
        <w:pStyle w:val="Default"/>
        <w:rPr>
          <w:color w:val="auto"/>
          <w:sz w:val="23"/>
          <w:szCs w:val="23"/>
        </w:rPr>
      </w:pPr>
    </w:p>
    <w:p w14:paraId="28C8D704"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Repeat transactions in this dataset are identified as two first-lien mortgages originated on different dates for the same property address, that are financed by loans purchased by either Freddie Mac or Fannie Mae. This sample covers every state, although sampling reflects Freddie Mac and Fannie Mae’s collective market coverage and thus is not random across states. </w:t>
      </w:r>
    </w:p>
    <w:p w14:paraId="3BED6E73" w14:textId="77777777" w:rsidR="00EC49CF" w:rsidRDefault="00EC49CF" w:rsidP="00EC49CF">
      <w:pPr>
        <w:pStyle w:val="Default"/>
        <w:rPr>
          <w:color w:val="auto"/>
          <w:sz w:val="23"/>
          <w:szCs w:val="23"/>
        </w:rPr>
      </w:pPr>
    </w:p>
    <w:p w14:paraId="1EB2FBE2"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Furthermore, data are limited to single-family detached and townhome properties that are financed by first-lien conventional and conforming loans.</w:t>
      </w:r>
      <w:r w:rsidRPr="003A656F">
        <w:rPr>
          <w:rFonts w:ascii="Times New Roman" w:hAnsi="Times New Roman" w:cs="Times New Roman"/>
          <w:i/>
          <w:color w:val="auto"/>
          <w:sz w:val="16"/>
          <w:szCs w:val="16"/>
        </w:rPr>
        <w:t>3</w:t>
      </w:r>
      <w:r w:rsidR="00B23F03">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The FMHPI further excludes planned unit developments (PUDs), condominium, and co-operative properties. </w:t>
      </w:r>
    </w:p>
    <w:p w14:paraId="5375D93A" w14:textId="77777777" w:rsidR="00EC49CF" w:rsidRDefault="00EC49CF" w:rsidP="00EC49CF">
      <w:pPr>
        <w:pStyle w:val="Default"/>
        <w:rPr>
          <w:color w:val="auto"/>
          <w:sz w:val="23"/>
          <w:szCs w:val="23"/>
        </w:rPr>
      </w:pPr>
    </w:p>
    <w:p w14:paraId="6B1B74E3"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Appraisal Values from Refinancing Transactions </w:t>
      </w:r>
    </w:p>
    <w:p w14:paraId="17601B1C" w14:textId="77777777" w:rsidR="003A656F" w:rsidRDefault="003A656F" w:rsidP="00EC49CF">
      <w:pPr>
        <w:pStyle w:val="Default"/>
        <w:rPr>
          <w:rFonts w:ascii="Times New Roman" w:hAnsi="Times New Roman" w:cs="Times New Roman"/>
          <w:color w:val="auto"/>
          <w:sz w:val="23"/>
          <w:szCs w:val="23"/>
        </w:rPr>
      </w:pPr>
    </w:p>
    <w:p w14:paraId="5CFCB159"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FMHPI includes appraisal values for some refinance decisions in the data pairs, with the restriction that at least one of the two transactions </w:t>
      </w:r>
      <w:r w:rsidR="003A656F">
        <w:rPr>
          <w:rFonts w:ascii="Times New Roman" w:hAnsi="Times New Roman" w:cs="Times New Roman"/>
          <w:color w:val="auto"/>
          <w:sz w:val="23"/>
          <w:szCs w:val="23"/>
        </w:rPr>
        <w:t>represent</w:t>
      </w:r>
      <w:r>
        <w:rPr>
          <w:rFonts w:ascii="Times New Roman" w:hAnsi="Times New Roman" w:cs="Times New Roman"/>
          <w:color w:val="auto"/>
          <w:sz w:val="23"/>
          <w:szCs w:val="23"/>
        </w:rPr>
        <w:t xml:space="preserve"> a purchase. In other words, refinance-to-refinance matched pairs are excluded from the calculations. Refinance adjustment terms are included in the regression specification to account for the possibility that appraisal values might systematically differ from purchase prices. These additional transactions greatly increase the power of estimation, especially at smaller levels of geography. </w:t>
      </w:r>
    </w:p>
    <w:p w14:paraId="652C9BAA" w14:textId="77777777" w:rsidR="00EC49CF" w:rsidRDefault="00EC49CF" w:rsidP="00EC49CF">
      <w:pPr>
        <w:pStyle w:val="Default"/>
        <w:rPr>
          <w:color w:val="auto"/>
          <w:sz w:val="23"/>
          <w:szCs w:val="23"/>
        </w:rPr>
      </w:pPr>
    </w:p>
    <w:p w14:paraId="7B5CBE04"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Geographic Weights </w:t>
      </w:r>
    </w:p>
    <w:p w14:paraId="2FF2A9EC" w14:textId="77777777" w:rsidR="003A656F" w:rsidRDefault="003A656F" w:rsidP="00EC49CF">
      <w:pPr>
        <w:pStyle w:val="Default"/>
        <w:rPr>
          <w:rFonts w:ascii="Times New Roman" w:hAnsi="Times New Roman" w:cs="Times New Roman"/>
          <w:color w:val="auto"/>
          <w:sz w:val="23"/>
          <w:szCs w:val="23"/>
        </w:rPr>
      </w:pPr>
    </w:p>
    <w:p w14:paraId="0B6D8FFD" w14:textId="77777777" w:rsidR="00EC49CF" w:rsidRDefault="00EC49CF" w:rsidP="00E808F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Freddie Mac aggregates the state-level indices in FMHPI to a national index that is tailored to suit several internal business purposes using weights based on the estimated property value underlying active Freddie Mac loans. Freddie Mac portfolio weights equal the estimated property value underlying active Freddie Mac loans in the one- to four-family portfolio (including PUDs and condominiums) as of December 31 of the previous year. Portfolio weights are recalculated early in each calendar year, according to the prior end-of-year active loan portfolio. Updated weights are then applied to all index values, not just those of the prior year. The U.S. FMHPI measures the average appreciation of house values within the currently active Freddie Mac portfolio. Freddie Mac encourages users of the FMHPI who are interested in measuring an appreciation rate that better suits their research or business purpose to construct a national index from the provided state indices using weights appropriate to their needs. </w:t>
      </w:r>
    </w:p>
    <w:p w14:paraId="05399ACE" w14:textId="77777777" w:rsidR="00EC49CF" w:rsidRDefault="00EC49CF" w:rsidP="00EC49CF">
      <w:pPr>
        <w:pStyle w:val="Default"/>
        <w:rPr>
          <w:color w:val="auto"/>
          <w:sz w:val="23"/>
          <w:szCs w:val="23"/>
        </w:rPr>
      </w:pPr>
    </w:p>
    <w:p w14:paraId="0DF485AA" w14:textId="77777777" w:rsidR="00E808F6" w:rsidRDefault="00E808F6">
      <w:pPr>
        <w:rPr>
          <w:rFonts w:ascii="Times New Roman" w:hAnsi="Times New Roman" w:cs="Times New Roman"/>
          <w:b/>
          <w:bCs/>
          <w:sz w:val="23"/>
          <w:szCs w:val="23"/>
        </w:rPr>
      </w:pPr>
      <w:r>
        <w:rPr>
          <w:rFonts w:ascii="Times New Roman" w:hAnsi="Times New Roman" w:cs="Times New Roman"/>
          <w:b/>
          <w:bCs/>
          <w:sz w:val="23"/>
          <w:szCs w:val="23"/>
        </w:rPr>
        <w:br w:type="page"/>
      </w:r>
    </w:p>
    <w:p w14:paraId="78B88067"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3.2 The FHFA House Price Indices </w:t>
      </w:r>
    </w:p>
    <w:p w14:paraId="5922F1B8" w14:textId="77777777" w:rsidR="00EC49CF" w:rsidRDefault="00EC49CF" w:rsidP="00EC49CF">
      <w:pPr>
        <w:pStyle w:val="Default"/>
        <w:rPr>
          <w:color w:val="auto"/>
          <w:sz w:val="23"/>
          <w:szCs w:val="23"/>
        </w:rPr>
      </w:pPr>
    </w:p>
    <w:p w14:paraId="2C9FF4E4" w14:textId="77777777" w:rsidR="00EC49CF" w:rsidRDefault="00EC49CF" w:rsidP="00EC49CF">
      <w:pPr>
        <w:pStyle w:val="Default"/>
        <w:rPr>
          <w:color w:val="auto"/>
          <w:sz w:val="23"/>
          <w:szCs w:val="23"/>
        </w:rPr>
      </w:pPr>
      <w:r w:rsidRPr="00467671">
        <w:rPr>
          <w:rFonts w:ascii="Times New Roman" w:hAnsi="Times New Roman" w:cs="Times New Roman"/>
          <w:color w:val="auto"/>
          <w:sz w:val="23"/>
          <w:szCs w:val="23"/>
        </w:rPr>
        <w:t>“The FHFA publishes a num</w:t>
      </w:r>
      <w:r w:rsidR="003A656F">
        <w:rPr>
          <w:rFonts w:ascii="Times New Roman" w:hAnsi="Times New Roman" w:cs="Times New Roman"/>
          <w:color w:val="auto"/>
          <w:sz w:val="23"/>
          <w:szCs w:val="23"/>
        </w:rPr>
        <w:t>ber of indic</w:t>
      </w:r>
      <w:r>
        <w:rPr>
          <w:rFonts w:ascii="Times New Roman" w:hAnsi="Times New Roman" w:cs="Times New Roman"/>
          <w:color w:val="auto"/>
          <w:sz w:val="23"/>
          <w:szCs w:val="23"/>
        </w:rPr>
        <w:t xml:space="preserve">es, including </w:t>
      </w:r>
      <w:r w:rsidRPr="00467671">
        <w:rPr>
          <w:rFonts w:ascii="Times New Roman" w:hAnsi="Times New Roman" w:cs="Times New Roman"/>
          <w:color w:val="auto"/>
          <w:sz w:val="23"/>
          <w:szCs w:val="23"/>
        </w:rPr>
        <w:t xml:space="preserve">two sets of quarterly indices </w:t>
      </w:r>
      <w:r>
        <w:rPr>
          <w:rFonts w:ascii="Times New Roman" w:hAnsi="Times New Roman" w:cs="Times New Roman"/>
          <w:color w:val="auto"/>
          <w:sz w:val="23"/>
          <w:szCs w:val="23"/>
        </w:rPr>
        <w:t xml:space="preserve">at the census region, MSA, and national levels: all-transactions indices that include both purchase and appraisal data, and purchase-only indices that includes only purchase transactions. The FHFA also publishes a monthly purchase-only index for the </w:t>
      </w:r>
      <w:proofErr w:type="gramStart"/>
      <w:r>
        <w:rPr>
          <w:rFonts w:ascii="Times New Roman" w:hAnsi="Times New Roman" w:cs="Times New Roman"/>
          <w:color w:val="auto"/>
          <w:sz w:val="23"/>
          <w:szCs w:val="23"/>
        </w:rPr>
        <w:t>nation as a whole</w:t>
      </w:r>
      <w:r w:rsidR="00E808F6">
        <w:rPr>
          <w:rFonts w:ascii="Times New Roman" w:hAnsi="Times New Roman" w:cs="Times New Roman"/>
          <w:color w:val="auto"/>
          <w:sz w:val="23"/>
          <w:szCs w:val="23"/>
        </w:rPr>
        <w:t>,</w:t>
      </w:r>
      <w:r>
        <w:rPr>
          <w:rFonts w:ascii="Times New Roman" w:hAnsi="Times New Roman" w:cs="Times New Roman"/>
          <w:color w:val="auto"/>
          <w:sz w:val="23"/>
          <w:szCs w:val="23"/>
        </w:rPr>
        <w:t xml:space="preserve"> and</w:t>
      </w:r>
      <w:proofErr w:type="gramEnd"/>
      <w:r>
        <w:rPr>
          <w:rFonts w:ascii="Times New Roman" w:hAnsi="Times New Roman" w:cs="Times New Roman"/>
          <w:color w:val="auto"/>
          <w:sz w:val="23"/>
          <w:szCs w:val="23"/>
        </w:rPr>
        <w:t xml:space="preserve"> by state. The national index is an average of census division indices, weighted according to census counts of owner-occupied housing.</w:t>
      </w:r>
      <w:r w:rsidRPr="003A656F">
        <w:rPr>
          <w:rFonts w:ascii="Times New Roman" w:hAnsi="Times New Roman" w:cs="Times New Roman"/>
          <w:i/>
          <w:color w:val="auto"/>
          <w:sz w:val="16"/>
          <w:szCs w:val="16"/>
        </w:rPr>
        <w:t>4</w:t>
      </w:r>
      <w:r>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This unit-weighting method can be interpreted to measure the average price appreciation of single-family homes in the United States. </w:t>
      </w:r>
    </w:p>
    <w:p w14:paraId="0F828887" w14:textId="77777777" w:rsidR="00EC49CF" w:rsidRDefault="00EC49CF" w:rsidP="00EC49CF">
      <w:pPr>
        <w:pStyle w:val="Default"/>
        <w:rPr>
          <w:color w:val="auto"/>
          <w:sz w:val="23"/>
          <w:szCs w:val="23"/>
        </w:rPr>
      </w:pPr>
    </w:p>
    <w:p w14:paraId="1DBC5147"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3.3 S&amp;P/Case-Shiller House Price Index </w:t>
      </w:r>
    </w:p>
    <w:p w14:paraId="5C86C70A" w14:textId="77777777" w:rsidR="00EC49CF" w:rsidRDefault="00EC49CF" w:rsidP="00EC49CF">
      <w:pPr>
        <w:pStyle w:val="Default"/>
        <w:rPr>
          <w:color w:val="auto"/>
          <w:sz w:val="23"/>
          <w:szCs w:val="23"/>
        </w:rPr>
      </w:pPr>
    </w:p>
    <w:p w14:paraId="398EB7F4" w14:textId="77777777" w:rsidR="00EC49CF" w:rsidRDefault="00EC49CF" w:rsidP="00EC49CF">
      <w:pPr>
        <w:pStyle w:val="Default"/>
        <w:rPr>
          <w:rFonts w:ascii="Times New Roman" w:hAnsi="Times New Roman" w:cs="Times New Roman"/>
          <w:color w:val="auto"/>
          <w:sz w:val="16"/>
          <w:szCs w:val="16"/>
        </w:rPr>
      </w:pPr>
      <w:r>
        <w:rPr>
          <w:rFonts w:ascii="Times New Roman" w:hAnsi="Times New Roman" w:cs="Times New Roman"/>
          <w:color w:val="auto"/>
          <w:sz w:val="23"/>
          <w:szCs w:val="23"/>
        </w:rPr>
        <w:t>The S&amp;P/Case-Shiller indices comprise several indices constructed from data gathered monthly from local recording offices across the country that include only purchase transactions for single-family housing. S&amp;P publishes the S&amp;P/Case-Shiller indices for twenty metropolitan regions, as well as a 20-city composite and a 10-city composite national indices.</w:t>
      </w:r>
      <w:r w:rsidRPr="003A656F">
        <w:rPr>
          <w:rFonts w:ascii="Times New Roman" w:hAnsi="Times New Roman" w:cs="Times New Roman"/>
          <w:i/>
          <w:color w:val="auto"/>
          <w:sz w:val="16"/>
          <w:szCs w:val="16"/>
        </w:rPr>
        <w:t xml:space="preserve">5 </w:t>
      </w:r>
      <w:r>
        <w:rPr>
          <w:rFonts w:ascii="Times New Roman" w:hAnsi="Times New Roman" w:cs="Times New Roman"/>
          <w:color w:val="auto"/>
          <w:sz w:val="23"/>
          <w:szCs w:val="23"/>
        </w:rPr>
        <w:t>Monthly indices are calculated using three-month moving averages. S&amp;P also publishes a quarterly national index, comprised of data from all 50 states and the District of Columbia.</w:t>
      </w:r>
      <w:r w:rsidR="00B23F03">
        <w:rPr>
          <w:rFonts w:ascii="Times New Roman" w:hAnsi="Times New Roman" w:cs="Times New Roman"/>
          <w:color w:val="auto"/>
          <w:sz w:val="23"/>
          <w:szCs w:val="23"/>
        </w:rPr>
        <w:t xml:space="preserve">  </w:t>
      </w:r>
      <w:r>
        <w:rPr>
          <w:rFonts w:ascii="Times New Roman" w:hAnsi="Times New Roman" w:cs="Times New Roman"/>
          <w:color w:val="auto"/>
          <w:sz w:val="23"/>
          <w:szCs w:val="23"/>
        </w:rPr>
        <w:t>Census division indices are weighted to a national index using the aggregate value of single-family housing stock. The national index thus approximates the average appreciation of the value of the housing stock across the country.</w:t>
      </w:r>
      <w:r w:rsidR="003A656F" w:rsidRPr="003A656F">
        <w:rPr>
          <w:rFonts w:ascii="Times New Roman" w:hAnsi="Times New Roman" w:cs="Times New Roman"/>
          <w:i/>
          <w:color w:val="auto"/>
          <w:sz w:val="16"/>
          <w:szCs w:val="16"/>
        </w:rPr>
        <w:t>6</w:t>
      </w:r>
    </w:p>
    <w:p w14:paraId="3333E601" w14:textId="77777777" w:rsidR="00EC49CF" w:rsidRDefault="00EC49CF" w:rsidP="00EC49CF">
      <w:pPr>
        <w:pStyle w:val="Default"/>
        <w:rPr>
          <w:color w:val="auto"/>
          <w:sz w:val="16"/>
          <w:szCs w:val="16"/>
        </w:rPr>
      </w:pPr>
    </w:p>
    <w:p w14:paraId="690B9073"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3.4 Other Price Measures </w:t>
      </w:r>
    </w:p>
    <w:p w14:paraId="7BB16EAE" w14:textId="77777777" w:rsidR="00EC49CF" w:rsidRDefault="00EC49CF" w:rsidP="00EC49CF">
      <w:pPr>
        <w:pStyle w:val="Default"/>
        <w:rPr>
          <w:rFonts w:ascii="Times New Roman" w:hAnsi="Times New Roman" w:cs="Times New Roman"/>
          <w:color w:val="auto"/>
          <w:sz w:val="23"/>
          <w:szCs w:val="23"/>
        </w:rPr>
      </w:pPr>
    </w:p>
    <w:p w14:paraId="60F0006C"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There are several house price measures that are not based on a repeat transaction methodology. </w:t>
      </w:r>
    </w:p>
    <w:p w14:paraId="724D08C5" w14:textId="77777777" w:rsidR="00EC49CF" w:rsidRDefault="00EC49CF" w:rsidP="00EC49CF">
      <w:pPr>
        <w:pStyle w:val="Default"/>
        <w:rPr>
          <w:color w:val="auto"/>
          <w:sz w:val="23"/>
          <w:szCs w:val="23"/>
        </w:rPr>
      </w:pPr>
    </w:p>
    <w:p w14:paraId="10567018" w14:textId="77777777" w:rsidR="00EC49CF" w:rsidRDefault="00EC49CF" w:rsidP="00E808F6">
      <w:pPr>
        <w:pStyle w:val="Default"/>
        <w:rPr>
          <w:rFonts w:ascii="Times New Roman" w:hAnsi="Times New Roman" w:cs="Times New Roman"/>
          <w:color w:val="auto"/>
          <w:sz w:val="23"/>
          <w:szCs w:val="23"/>
        </w:rPr>
      </w:pPr>
      <w:r>
        <w:rPr>
          <w:rFonts w:ascii="Times New Roman" w:hAnsi="Times New Roman" w:cs="Times New Roman"/>
          <w:color w:val="auto"/>
          <w:sz w:val="23"/>
          <w:szCs w:val="23"/>
        </w:rPr>
        <w:t>Single-period measures, such as those released by the U.S. Census Bureau or the National Association of Realtors</w:t>
      </w:r>
      <w:r>
        <w:rPr>
          <w:rFonts w:ascii="Times New Roman" w:hAnsi="Times New Roman" w:cs="Times New Roman"/>
          <w:color w:val="auto"/>
          <w:sz w:val="16"/>
          <w:szCs w:val="16"/>
        </w:rPr>
        <w:t>®</w:t>
      </w:r>
      <w:r>
        <w:rPr>
          <w:rFonts w:ascii="Times New Roman" w:hAnsi="Times New Roman" w:cs="Times New Roman"/>
          <w:color w:val="auto"/>
          <w:sz w:val="23"/>
          <w:szCs w:val="23"/>
        </w:rPr>
        <w:t>, report the average or median price for new or existing houses sold in a given period.</w:t>
      </w:r>
      <w:r w:rsidR="003A656F" w:rsidRPr="003A656F">
        <w:rPr>
          <w:rFonts w:ascii="Times New Roman" w:hAnsi="Times New Roman" w:cs="Times New Roman"/>
          <w:i/>
          <w:color w:val="auto"/>
          <w:sz w:val="16"/>
          <w:szCs w:val="16"/>
        </w:rPr>
        <w:t>7</w:t>
      </w:r>
      <w:r>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These measures are sensitive to the mix of properties sold in a given period, including sales of larger or smaller houses or sales volumes in different geographic regions. Growth rates calculated from these measures, as a result, reflect not only price appreciation of houses of a </w:t>
      </w:r>
      <w:proofErr w:type="gramStart"/>
      <w:r>
        <w:rPr>
          <w:rFonts w:ascii="Times New Roman" w:hAnsi="Times New Roman" w:cs="Times New Roman"/>
          <w:color w:val="auto"/>
          <w:sz w:val="23"/>
          <w:szCs w:val="23"/>
        </w:rPr>
        <w:t>particular type</w:t>
      </w:r>
      <w:proofErr w:type="gramEnd"/>
      <w:r>
        <w:rPr>
          <w:rFonts w:ascii="Times New Roman" w:hAnsi="Times New Roman" w:cs="Times New Roman"/>
          <w:color w:val="auto"/>
          <w:sz w:val="23"/>
          <w:szCs w:val="23"/>
        </w:rPr>
        <w:t xml:space="preserve"> or in a particular location, but also changes in the mix of property types or locations. </w:t>
      </w:r>
    </w:p>
    <w:p w14:paraId="5F170C61" w14:textId="77777777" w:rsidR="0047588C"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Hedonic house price measures are an alternative to single-period transaction and repeat transactions measures. Hedonic models, like that employed by the U.S. Census Bureau’s Constant-Quality House Price Index, estimate house price appreciation by measuring changes in average price levels of all houses, while controlling for a subset of housing and location attributes.</w:t>
      </w:r>
      <w:r w:rsidR="003A656F" w:rsidRPr="003A656F">
        <w:rPr>
          <w:rFonts w:ascii="Times New Roman" w:hAnsi="Times New Roman" w:cs="Times New Roman"/>
          <w:i/>
          <w:color w:val="auto"/>
          <w:sz w:val="16"/>
          <w:szCs w:val="16"/>
        </w:rPr>
        <w:t>8</w:t>
      </w:r>
      <w:r>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The U.S. Census Bureau’s index is for new homes only and is released quarterly for the nation and four census regions. Despite the intuitive appeal of basing a house price measure on observable characteristics, in practice there are limitations to the use of hedonic measures, largely related to house price characteristics that are used in the regression, and the costs of collecting the more granular information. </w:t>
      </w:r>
    </w:p>
    <w:p w14:paraId="1242BFE8" w14:textId="77777777" w:rsidR="00EC49CF" w:rsidRPr="00E808F6" w:rsidRDefault="00E808F6" w:rsidP="00EC49CF">
      <w:pPr>
        <w:pStyle w:val="Default"/>
        <w:rPr>
          <w:rFonts w:ascii="Times New Roman" w:hAnsi="Times New Roman" w:cs="Times New Roman"/>
          <w:b/>
          <w:color w:val="auto"/>
          <w:sz w:val="23"/>
          <w:szCs w:val="23"/>
          <w:u w:val="single"/>
        </w:rPr>
      </w:pP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r>
        <w:rPr>
          <w:rFonts w:ascii="Times New Roman" w:hAnsi="Times New Roman" w:cs="Times New Roman"/>
          <w:b/>
          <w:color w:val="auto"/>
          <w:sz w:val="23"/>
          <w:szCs w:val="23"/>
          <w:u w:val="single"/>
        </w:rPr>
        <w:tab/>
      </w:r>
    </w:p>
    <w:p w14:paraId="25C8D284" w14:textId="77777777" w:rsidR="0047588C" w:rsidRPr="0047588C" w:rsidRDefault="0047588C" w:rsidP="0047588C">
      <w:pPr>
        <w:pStyle w:val="Default"/>
        <w:rPr>
          <w:rFonts w:ascii="Times New Roman" w:hAnsi="Times New Roman" w:cs="Times New Roman"/>
          <w:color w:val="auto"/>
          <w:sz w:val="18"/>
          <w:szCs w:val="18"/>
        </w:rPr>
      </w:pPr>
      <w:r w:rsidRPr="003A656F">
        <w:rPr>
          <w:rFonts w:ascii="Times New Roman" w:hAnsi="Times New Roman" w:cs="Times New Roman"/>
          <w:i/>
          <w:color w:val="auto"/>
          <w:sz w:val="18"/>
          <w:szCs w:val="18"/>
        </w:rPr>
        <w:t>1</w:t>
      </w:r>
      <w:r w:rsidRPr="0047588C">
        <w:rPr>
          <w:rFonts w:ascii="Times New Roman" w:hAnsi="Times New Roman" w:cs="Times New Roman"/>
          <w:color w:val="auto"/>
          <w:sz w:val="18"/>
          <w:szCs w:val="18"/>
        </w:rPr>
        <w:t xml:space="preserve"> An example of an econometric difference is the estimation of arithmetic versus geometric indexes. Methodologies will also differ in other details of the statistical estimation, although that discussion is outside the scope of this document.</w:t>
      </w:r>
    </w:p>
    <w:p w14:paraId="2440E460" w14:textId="77777777" w:rsidR="0047588C" w:rsidRPr="0047588C" w:rsidRDefault="0047588C" w:rsidP="0047588C">
      <w:pPr>
        <w:pStyle w:val="Default"/>
        <w:rPr>
          <w:color w:val="auto"/>
          <w:sz w:val="18"/>
          <w:szCs w:val="18"/>
        </w:rPr>
      </w:pPr>
      <w:r w:rsidRPr="003A656F">
        <w:rPr>
          <w:rFonts w:ascii="Times New Roman" w:hAnsi="Times New Roman"/>
          <w:i/>
          <w:sz w:val="18"/>
          <w:szCs w:val="18"/>
        </w:rPr>
        <w:t>2</w:t>
      </w:r>
      <w:r w:rsidRPr="0047588C">
        <w:rPr>
          <w:rFonts w:ascii="Times New Roman" w:hAnsi="Times New Roman"/>
          <w:sz w:val="18"/>
          <w:szCs w:val="18"/>
        </w:rPr>
        <w:t xml:space="preserve"> Some FHFA indices, like expanded-data indices are using additional data from public records beyond Fannie Mae and Freddie Mac.”</w:t>
      </w:r>
    </w:p>
    <w:p w14:paraId="68860938" w14:textId="77777777" w:rsidR="0047588C" w:rsidRPr="0047588C" w:rsidRDefault="0047588C" w:rsidP="0047588C">
      <w:pPr>
        <w:pStyle w:val="Default"/>
        <w:rPr>
          <w:rFonts w:ascii="Times New Roman" w:hAnsi="Times New Roman"/>
          <w:sz w:val="18"/>
          <w:szCs w:val="18"/>
        </w:rPr>
      </w:pPr>
      <w:r w:rsidRPr="003A656F">
        <w:rPr>
          <w:rFonts w:ascii="Times New Roman" w:hAnsi="Times New Roman"/>
          <w:i/>
          <w:sz w:val="18"/>
          <w:szCs w:val="18"/>
        </w:rPr>
        <w:t>3</w:t>
      </w:r>
      <w:r w:rsidRPr="0047588C">
        <w:rPr>
          <w:rFonts w:ascii="Times New Roman" w:hAnsi="Times New Roman"/>
          <w:sz w:val="18"/>
          <w:szCs w:val="18"/>
        </w:rPr>
        <w:t xml:space="preserve"> Freddie Mac and Fannie Mae are authorized to purchase only conforming loans, or loans that fall below certain dollar limits determined by Congress. For more information on conforming loan limits, go to </w:t>
      </w:r>
      <w:hyperlink r:id="rId8" w:history="1">
        <w:r w:rsidRPr="0047588C">
          <w:rPr>
            <w:rStyle w:val="Hyperlink"/>
            <w:rFonts w:ascii="Times New Roman" w:hAnsi="Times New Roman"/>
            <w:sz w:val="18"/>
            <w:szCs w:val="18"/>
          </w:rPr>
          <w:t>http://www.fhfa.gov</w:t>
        </w:r>
      </w:hyperlink>
      <w:r w:rsidRPr="0047588C">
        <w:rPr>
          <w:rFonts w:ascii="Times New Roman" w:hAnsi="Times New Roman"/>
          <w:sz w:val="18"/>
          <w:szCs w:val="18"/>
        </w:rPr>
        <w:t xml:space="preserve">. </w:t>
      </w:r>
    </w:p>
    <w:p w14:paraId="791C9B15" w14:textId="77777777" w:rsidR="0047588C" w:rsidRPr="0047588C" w:rsidRDefault="0047588C" w:rsidP="0047588C">
      <w:pPr>
        <w:pStyle w:val="Default"/>
        <w:rPr>
          <w:sz w:val="18"/>
          <w:szCs w:val="18"/>
        </w:rPr>
      </w:pPr>
      <w:r w:rsidRPr="003A656F">
        <w:rPr>
          <w:rFonts w:ascii="Times New Roman" w:hAnsi="Times New Roman" w:cs="Times New Roman"/>
          <w:i/>
          <w:sz w:val="18"/>
          <w:szCs w:val="18"/>
        </w:rPr>
        <w:t>4</w:t>
      </w:r>
      <w:r w:rsidRPr="0047588C">
        <w:rPr>
          <w:rFonts w:ascii="Times New Roman" w:hAnsi="Times New Roman" w:cs="Times New Roman"/>
          <w:sz w:val="18"/>
          <w:szCs w:val="18"/>
        </w:rPr>
        <w:t xml:space="preserve"> The FHFA national index is constructed by extrapolating index values from a weighted average of the growth rates of state indices, rather than a weighted average of index values. Census division weights are published at http://www.fhfa.gov. </w:t>
      </w:r>
    </w:p>
    <w:p w14:paraId="59766A7D" w14:textId="77777777" w:rsidR="0047588C" w:rsidRPr="0047588C" w:rsidRDefault="0047588C" w:rsidP="0047588C">
      <w:pPr>
        <w:pStyle w:val="Default"/>
        <w:rPr>
          <w:sz w:val="18"/>
          <w:szCs w:val="18"/>
        </w:rPr>
      </w:pPr>
      <w:r w:rsidRPr="003A656F">
        <w:rPr>
          <w:rFonts w:ascii="Times New Roman" w:hAnsi="Times New Roman" w:cs="Times New Roman"/>
          <w:i/>
          <w:sz w:val="18"/>
          <w:szCs w:val="18"/>
        </w:rPr>
        <w:t>5</w:t>
      </w:r>
      <w:r w:rsidRPr="0047588C">
        <w:rPr>
          <w:rFonts w:ascii="Times New Roman" w:hAnsi="Times New Roman" w:cs="Times New Roman"/>
          <w:sz w:val="18"/>
          <w:szCs w:val="18"/>
        </w:rPr>
        <w:t xml:space="preserve"> S&amp;P/Case-Shiller also publishes an index for three tiers of prices in 17 MSAs and a condominium index for 5 MSAs. Go to http://www.standardandpoors.com/home/en/us. </w:t>
      </w:r>
    </w:p>
    <w:p w14:paraId="2EE032F9" w14:textId="77777777" w:rsidR="0047588C" w:rsidRPr="0047588C" w:rsidRDefault="0047588C" w:rsidP="0047588C">
      <w:pPr>
        <w:pStyle w:val="Default"/>
        <w:rPr>
          <w:sz w:val="18"/>
          <w:szCs w:val="18"/>
        </w:rPr>
      </w:pPr>
      <w:r w:rsidRPr="003A656F">
        <w:rPr>
          <w:rFonts w:ascii="Times New Roman" w:hAnsi="Times New Roman" w:cs="Times New Roman"/>
          <w:i/>
          <w:sz w:val="18"/>
          <w:szCs w:val="18"/>
        </w:rPr>
        <w:t>6</w:t>
      </w:r>
      <w:r w:rsidRPr="0047588C">
        <w:rPr>
          <w:rFonts w:ascii="Times New Roman" w:hAnsi="Times New Roman" w:cs="Times New Roman"/>
          <w:sz w:val="18"/>
          <w:szCs w:val="18"/>
        </w:rPr>
        <w:t xml:space="preserve"> The aggregate value of housing stock for each metro area is calculated as the total number of units multiplied by the average value of single-family housing, as reported by the decennial census. </w:t>
      </w:r>
    </w:p>
    <w:p w14:paraId="6A105412" w14:textId="77777777" w:rsidR="0047588C" w:rsidRPr="0047588C" w:rsidRDefault="0047588C" w:rsidP="0047588C">
      <w:pPr>
        <w:pStyle w:val="Default"/>
        <w:rPr>
          <w:rFonts w:ascii="Times New Roman" w:hAnsi="Times New Roman" w:cs="Times New Roman"/>
          <w:sz w:val="18"/>
          <w:szCs w:val="18"/>
        </w:rPr>
      </w:pPr>
      <w:r w:rsidRPr="003A656F">
        <w:rPr>
          <w:rFonts w:ascii="Times New Roman" w:hAnsi="Times New Roman" w:cs="Times New Roman"/>
          <w:i/>
          <w:sz w:val="18"/>
          <w:szCs w:val="18"/>
        </w:rPr>
        <w:t>7</w:t>
      </w:r>
      <w:r w:rsidRPr="0047588C">
        <w:rPr>
          <w:rFonts w:ascii="Times New Roman" w:hAnsi="Times New Roman" w:cs="Times New Roman"/>
          <w:sz w:val="18"/>
          <w:szCs w:val="18"/>
        </w:rPr>
        <w:t xml:space="preserve"> Go to http://www.nar.realtor.</w:t>
      </w:r>
    </w:p>
    <w:p w14:paraId="0F7619AC" w14:textId="77777777" w:rsidR="00EC49CF" w:rsidRPr="0047588C" w:rsidRDefault="00EC49CF" w:rsidP="00EC49CF">
      <w:pPr>
        <w:rPr>
          <w:sz w:val="18"/>
          <w:szCs w:val="18"/>
        </w:rPr>
      </w:pPr>
      <w:r w:rsidRPr="003A656F">
        <w:rPr>
          <w:rFonts w:ascii="Times New Roman" w:hAnsi="Times New Roman" w:cs="Times New Roman"/>
          <w:i/>
          <w:sz w:val="18"/>
          <w:szCs w:val="18"/>
        </w:rPr>
        <w:t>8</w:t>
      </w:r>
      <w:r w:rsidRPr="0047588C">
        <w:rPr>
          <w:rFonts w:ascii="Times New Roman" w:hAnsi="Times New Roman" w:cs="Times New Roman"/>
          <w:sz w:val="18"/>
          <w:szCs w:val="18"/>
        </w:rPr>
        <w:t xml:space="preserve"> Go to http://www.census.gov/const/www/constpriceindex.html. </w:t>
      </w:r>
      <w:r w:rsidRPr="0047588C">
        <w:rPr>
          <w:sz w:val="18"/>
          <w:szCs w:val="18"/>
        </w:rPr>
        <w:t xml:space="preserve"> </w:t>
      </w:r>
    </w:p>
    <w:sectPr w:rsidR="00EC49CF" w:rsidRPr="0047588C" w:rsidSect="00EC49C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CFC1E" w14:textId="77777777" w:rsidR="00DA5C24" w:rsidRDefault="00DA5C24" w:rsidP="00EC49CF">
      <w:pPr>
        <w:spacing w:after="0" w:line="240" w:lineRule="auto"/>
      </w:pPr>
      <w:r>
        <w:separator/>
      </w:r>
    </w:p>
  </w:endnote>
  <w:endnote w:type="continuationSeparator" w:id="0">
    <w:p w14:paraId="3579FEEA" w14:textId="77777777" w:rsidR="00DA5C24" w:rsidRDefault="00DA5C24" w:rsidP="00EC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F6FD" w14:textId="77777777" w:rsidR="00EC49CF" w:rsidRDefault="00EC49CF">
    <w:pPr>
      <w:pStyle w:val="Footer"/>
    </w:pPr>
  </w:p>
  <w:p w14:paraId="53133262" w14:textId="77777777" w:rsidR="00E4779F" w:rsidRDefault="00DA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AD49" w14:textId="77777777" w:rsidR="00DA5C24" w:rsidRDefault="00DA5C24" w:rsidP="00EC49CF">
      <w:pPr>
        <w:spacing w:after="0" w:line="240" w:lineRule="auto"/>
      </w:pPr>
      <w:r>
        <w:separator/>
      </w:r>
    </w:p>
  </w:footnote>
  <w:footnote w:type="continuationSeparator" w:id="0">
    <w:p w14:paraId="49209B17" w14:textId="77777777" w:rsidR="00DA5C24" w:rsidRDefault="00DA5C24" w:rsidP="00EC4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3631"/>
    <w:multiLevelType w:val="hybridMultilevel"/>
    <w:tmpl w:val="4B76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CF"/>
    <w:rsid w:val="003A656F"/>
    <w:rsid w:val="0047588C"/>
    <w:rsid w:val="0089473D"/>
    <w:rsid w:val="00B23F03"/>
    <w:rsid w:val="00C37AA8"/>
    <w:rsid w:val="00DA5C24"/>
    <w:rsid w:val="00E808F6"/>
    <w:rsid w:val="00EC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0E9D"/>
  <w15:chartTrackingRefBased/>
  <w15:docId w15:val="{E5468567-2C14-49ED-A104-865755DC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9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49CF"/>
    <w:rPr>
      <w:color w:val="0563C1" w:themeColor="hyperlink"/>
      <w:u w:val="single"/>
    </w:rPr>
  </w:style>
  <w:style w:type="paragraph" w:styleId="Footer">
    <w:name w:val="footer"/>
    <w:basedOn w:val="Normal"/>
    <w:link w:val="FooterChar"/>
    <w:uiPriority w:val="99"/>
    <w:unhideWhenUsed/>
    <w:rsid w:val="00EC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CF"/>
  </w:style>
  <w:style w:type="paragraph" w:styleId="Header">
    <w:name w:val="header"/>
    <w:basedOn w:val="Normal"/>
    <w:link w:val="HeaderChar"/>
    <w:uiPriority w:val="99"/>
    <w:unhideWhenUsed/>
    <w:rsid w:val="00EC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f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DCFB-0AAE-487D-BB98-B0F25CBB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Leslie</dc:creator>
  <cp:keywords/>
  <dc:description/>
  <cp:lastModifiedBy>John</cp:lastModifiedBy>
  <cp:revision>2</cp:revision>
  <dcterms:created xsi:type="dcterms:W3CDTF">2019-08-13T21:40:00Z</dcterms:created>
  <dcterms:modified xsi:type="dcterms:W3CDTF">2019-08-13T21:40:00Z</dcterms:modified>
</cp:coreProperties>
</file>