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632E4D" w14:textId="3C5E2811" w:rsidR="00B77E94" w:rsidRDefault="00B77E94" w:rsidP="0014476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AU" w:eastAsia="en-AU"/>
        </w:rPr>
        <w:drawing>
          <wp:anchor distT="0" distB="0" distL="114300" distR="114300" simplePos="0" relativeHeight="251658240" behindDoc="1" locked="0" layoutInCell="1" allowOverlap="1" wp14:anchorId="6BC8038D" wp14:editId="1BEAE6CC">
            <wp:simplePos x="0" y="0"/>
            <wp:positionH relativeFrom="column">
              <wp:posOffset>-983615</wp:posOffset>
            </wp:positionH>
            <wp:positionV relativeFrom="paragraph">
              <wp:posOffset>-1026160</wp:posOffset>
            </wp:positionV>
            <wp:extent cx="7664508" cy="10841211"/>
            <wp:effectExtent l="0" t="0" r="635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ver Page - Te Matauru Investment Fun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4508" cy="108412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9A0F57" w14:textId="31985769" w:rsidR="00B77E94" w:rsidRDefault="00B77E9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A49FC1D" w14:textId="04F42E1F" w:rsidR="00836F83" w:rsidRDefault="0014476E" w:rsidP="0014476E">
      <w:pPr>
        <w:jc w:val="center"/>
        <w:rPr>
          <w:b/>
          <w:sz w:val="28"/>
          <w:szCs w:val="28"/>
        </w:rPr>
      </w:pPr>
      <w:proofErr w:type="spellStart"/>
      <w:r w:rsidRPr="0014476E">
        <w:rPr>
          <w:b/>
          <w:sz w:val="28"/>
          <w:szCs w:val="28"/>
        </w:rPr>
        <w:lastRenderedPageBreak/>
        <w:t>Te</w:t>
      </w:r>
      <w:proofErr w:type="spellEnd"/>
      <w:r w:rsidRPr="0014476E">
        <w:rPr>
          <w:b/>
          <w:sz w:val="28"/>
          <w:szCs w:val="28"/>
        </w:rPr>
        <w:t xml:space="preserve"> </w:t>
      </w:r>
      <w:proofErr w:type="spellStart"/>
      <w:r w:rsidR="00D74E4C">
        <w:rPr>
          <w:b/>
          <w:sz w:val="28"/>
          <w:szCs w:val="28"/>
        </w:rPr>
        <w:t>Mātāuru</w:t>
      </w:r>
      <w:proofErr w:type="spellEnd"/>
      <w:r w:rsidR="00D74E4C">
        <w:rPr>
          <w:b/>
          <w:sz w:val="28"/>
          <w:szCs w:val="28"/>
        </w:rPr>
        <w:t xml:space="preserve"> </w:t>
      </w:r>
      <w:r w:rsidR="00836F83">
        <w:rPr>
          <w:b/>
          <w:sz w:val="28"/>
          <w:szCs w:val="28"/>
        </w:rPr>
        <w:t>Investment Fund</w:t>
      </w:r>
    </w:p>
    <w:p w14:paraId="1359C8A4" w14:textId="77777777" w:rsidR="009945C7" w:rsidRDefault="00D74E4C" w:rsidP="0014476E">
      <w:pPr>
        <w:jc w:val="center"/>
        <w:rPr>
          <w:b/>
          <w:sz w:val="28"/>
          <w:szCs w:val="28"/>
        </w:rPr>
      </w:pPr>
      <w:r w:rsidRPr="0014476E">
        <w:rPr>
          <w:b/>
          <w:sz w:val="28"/>
          <w:szCs w:val="28"/>
        </w:rPr>
        <w:t>Information</w:t>
      </w:r>
      <w:r w:rsidR="0014476E" w:rsidRPr="0014476E">
        <w:rPr>
          <w:b/>
          <w:sz w:val="28"/>
          <w:szCs w:val="28"/>
        </w:rPr>
        <w:t xml:space="preserve"> Sheet</w:t>
      </w:r>
    </w:p>
    <w:p w14:paraId="767308D4" w14:textId="77777777" w:rsidR="00585C28" w:rsidRPr="00585C28" w:rsidRDefault="00585C28" w:rsidP="0014476E">
      <w:pPr>
        <w:jc w:val="center"/>
        <w:rPr>
          <w:b/>
          <w:sz w:val="24"/>
          <w:szCs w:val="24"/>
        </w:rPr>
      </w:pPr>
    </w:p>
    <w:p w14:paraId="36269145" w14:textId="77777777" w:rsidR="007238A4" w:rsidRPr="00E748B1" w:rsidRDefault="007238A4" w:rsidP="007238A4">
      <w:pPr>
        <w:keepNext/>
        <w:keepLines/>
        <w:spacing w:before="40" w:after="0"/>
        <w:outlineLvl w:val="1"/>
        <w:rPr>
          <w:rFonts w:eastAsiaTheme="majorEastAsia" w:cstheme="majorBidi"/>
          <w:b/>
          <w:sz w:val="24"/>
          <w:szCs w:val="24"/>
        </w:rPr>
      </w:pPr>
      <w:bookmarkStart w:id="0" w:name="_Toc495815631"/>
      <w:r w:rsidRPr="00E748B1">
        <w:rPr>
          <w:rFonts w:eastAsiaTheme="majorEastAsia" w:cstheme="majorBidi"/>
          <w:b/>
          <w:sz w:val="24"/>
          <w:szCs w:val="24"/>
        </w:rPr>
        <w:t xml:space="preserve">About </w:t>
      </w:r>
      <w:r w:rsidR="00585C28">
        <w:rPr>
          <w:rFonts w:eastAsiaTheme="majorEastAsia" w:cstheme="majorBidi"/>
          <w:b/>
          <w:sz w:val="24"/>
          <w:szCs w:val="24"/>
        </w:rPr>
        <w:t xml:space="preserve">the </w:t>
      </w:r>
      <w:r w:rsidRPr="00E748B1">
        <w:rPr>
          <w:rFonts w:eastAsiaTheme="majorEastAsia" w:cstheme="majorBidi"/>
          <w:b/>
          <w:sz w:val="24"/>
          <w:szCs w:val="24"/>
        </w:rPr>
        <w:t>Te Mātāuru</w:t>
      </w:r>
      <w:bookmarkEnd w:id="0"/>
      <w:r w:rsidR="00585C28">
        <w:rPr>
          <w:rFonts w:eastAsiaTheme="majorEastAsia" w:cstheme="majorBidi"/>
          <w:b/>
          <w:sz w:val="24"/>
          <w:szCs w:val="24"/>
        </w:rPr>
        <w:t xml:space="preserve"> Investment Fund</w:t>
      </w:r>
    </w:p>
    <w:p w14:paraId="009FDF68" w14:textId="77777777" w:rsidR="00B12F16" w:rsidRPr="00E748B1" w:rsidRDefault="00ED1EED" w:rsidP="00B12F16">
      <w:pPr>
        <w:spacing w:after="120" w:line="240" w:lineRule="auto"/>
        <w:ind w:right="45"/>
        <w:jc w:val="both"/>
        <w:rPr>
          <w:rFonts w:cstheme="minorHAnsi"/>
          <w:sz w:val="24"/>
          <w:szCs w:val="24"/>
        </w:rPr>
      </w:pPr>
      <w:r w:rsidRPr="00E748B1">
        <w:rPr>
          <w:rFonts w:cstheme="minorHAnsi"/>
          <w:sz w:val="24"/>
          <w:szCs w:val="24"/>
        </w:rPr>
        <w:t>Te Mātāuru is a contestable investment fund that targets home and community-based initiatives which contribute to revitalising te reo Māori as a nurturing f</w:t>
      </w:r>
      <w:bookmarkStart w:id="1" w:name="_GoBack"/>
      <w:bookmarkEnd w:id="1"/>
      <w:r w:rsidRPr="00E748B1">
        <w:rPr>
          <w:rFonts w:cstheme="minorHAnsi"/>
          <w:sz w:val="24"/>
          <w:szCs w:val="24"/>
        </w:rPr>
        <w:t xml:space="preserve">irst language. Te Mātāuru is </w:t>
      </w:r>
      <w:r w:rsidR="00585C28">
        <w:rPr>
          <w:rFonts w:cstheme="minorHAnsi"/>
          <w:sz w:val="24"/>
          <w:szCs w:val="24"/>
        </w:rPr>
        <w:t xml:space="preserve">driven by </w:t>
      </w:r>
      <w:r w:rsidRPr="00E748B1">
        <w:rPr>
          <w:rFonts w:cstheme="minorHAnsi"/>
          <w:sz w:val="24"/>
          <w:szCs w:val="24"/>
        </w:rPr>
        <w:t xml:space="preserve">a cluster or Kāhui model that represents the interests of all iwi and sector groups </w:t>
      </w:r>
      <w:r w:rsidR="00585C28" w:rsidRPr="00E748B1">
        <w:rPr>
          <w:rFonts w:cstheme="minorHAnsi"/>
          <w:sz w:val="24"/>
          <w:szCs w:val="24"/>
        </w:rPr>
        <w:t>listed in Te Ture mō Te Reo Māori 2016</w:t>
      </w:r>
      <w:r w:rsidRPr="00E748B1">
        <w:rPr>
          <w:rFonts w:cstheme="minorHAnsi"/>
          <w:sz w:val="24"/>
          <w:szCs w:val="24"/>
        </w:rPr>
        <w:t>.</w:t>
      </w:r>
      <w:r w:rsidR="00340429" w:rsidRPr="00E748B1">
        <w:rPr>
          <w:rFonts w:cstheme="minorHAnsi"/>
          <w:sz w:val="24"/>
          <w:szCs w:val="24"/>
        </w:rPr>
        <w:t xml:space="preserve"> </w:t>
      </w:r>
      <w:r w:rsidR="00ED3A20" w:rsidRPr="00E748B1">
        <w:rPr>
          <w:rFonts w:cstheme="minorHAnsi"/>
          <w:sz w:val="24"/>
          <w:szCs w:val="24"/>
        </w:rPr>
        <w:t>D</w:t>
      </w:r>
      <w:r w:rsidR="00B12F16" w:rsidRPr="00E748B1">
        <w:rPr>
          <w:rFonts w:cstheme="minorHAnsi"/>
          <w:sz w:val="24"/>
          <w:szCs w:val="24"/>
        </w:rPr>
        <w:t xml:space="preserve">iagram </w:t>
      </w:r>
      <w:r w:rsidR="00ED3A20" w:rsidRPr="00E748B1">
        <w:rPr>
          <w:rFonts w:cstheme="minorHAnsi"/>
          <w:sz w:val="24"/>
          <w:szCs w:val="24"/>
        </w:rPr>
        <w:t xml:space="preserve">One </w:t>
      </w:r>
      <w:r w:rsidR="00B12F16" w:rsidRPr="00E748B1">
        <w:rPr>
          <w:rFonts w:cstheme="minorHAnsi"/>
          <w:sz w:val="24"/>
          <w:szCs w:val="24"/>
        </w:rPr>
        <w:t>presents</w:t>
      </w:r>
      <w:r w:rsidR="00ED3A20" w:rsidRPr="00E748B1">
        <w:rPr>
          <w:rFonts w:cstheme="minorHAnsi"/>
          <w:sz w:val="24"/>
          <w:szCs w:val="24"/>
        </w:rPr>
        <w:t xml:space="preserve"> an overview of the people involved in the implementation of </w:t>
      </w:r>
      <w:r w:rsidR="00585C28">
        <w:rPr>
          <w:rFonts w:cstheme="minorHAnsi"/>
          <w:sz w:val="24"/>
          <w:szCs w:val="24"/>
        </w:rPr>
        <w:t>Te Mātāuru</w:t>
      </w:r>
      <w:r w:rsidR="00ED3A20" w:rsidRPr="00E748B1">
        <w:rPr>
          <w:rFonts w:cstheme="minorHAnsi"/>
          <w:sz w:val="24"/>
          <w:szCs w:val="24"/>
        </w:rPr>
        <w:t>.</w:t>
      </w:r>
    </w:p>
    <w:p w14:paraId="104A5C5F" w14:textId="77777777" w:rsidR="002C1DD5" w:rsidRPr="00E748B1" w:rsidRDefault="002C1DD5" w:rsidP="002C1DD5">
      <w:pPr>
        <w:spacing w:after="120" w:line="240" w:lineRule="auto"/>
        <w:ind w:right="45"/>
        <w:jc w:val="both"/>
        <w:rPr>
          <w:rFonts w:cstheme="minorHAnsi"/>
          <w:sz w:val="24"/>
          <w:szCs w:val="24"/>
        </w:rPr>
      </w:pPr>
      <w:r w:rsidRPr="00E748B1">
        <w:rPr>
          <w:rFonts w:cstheme="minorHAnsi"/>
          <w:sz w:val="24"/>
          <w:szCs w:val="24"/>
        </w:rPr>
        <w:t>Te Mātāuru is underpinned by the following themes that serve as essential foundations for outcomes, indicators and the allocation of investment funding for a diverse range of initiatives:</w:t>
      </w:r>
    </w:p>
    <w:p w14:paraId="0FC655D9" w14:textId="77777777" w:rsidR="002C1DD5" w:rsidRPr="00E748B1" w:rsidRDefault="002C1DD5" w:rsidP="00340429">
      <w:pPr>
        <w:spacing w:after="0" w:line="240" w:lineRule="auto"/>
        <w:ind w:left="284" w:right="45" w:hanging="284"/>
        <w:jc w:val="both"/>
        <w:rPr>
          <w:rFonts w:cstheme="minorHAnsi"/>
          <w:sz w:val="24"/>
          <w:szCs w:val="24"/>
        </w:rPr>
      </w:pPr>
      <w:r w:rsidRPr="00E748B1">
        <w:rPr>
          <w:rFonts w:cstheme="minorHAnsi"/>
          <w:sz w:val="24"/>
          <w:szCs w:val="24"/>
        </w:rPr>
        <w:t>•</w:t>
      </w:r>
      <w:r w:rsidRPr="00E748B1">
        <w:rPr>
          <w:rFonts w:cstheme="minorHAnsi"/>
          <w:sz w:val="24"/>
          <w:szCs w:val="24"/>
        </w:rPr>
        <w:tab/>
        <w:t>The importance of whānau leading initiatives which identify the importance of fostering te reo Māori in the home and wider community;</w:t>
      </w:r>
    </w:p>
    <w:p w14:paraId="46D820B0" w14:textId="77777777" w:rsidR="002C1DD5" w:rsidRPr="00E748B1" w:rsidRDefault="002C1DD5" w:rsidP="00340429">
      <w:pPr>
        <w:spacing w:after="0" w:line="240" w:lineRule="auto"/>
        <w:ind w:left="284" w:right="45" w:hanging="284"/>
        <w:jc w:val="both"/>
        <w:rPr>
          <w:rFonts w:cstheme="minorHAnsi"/>
          <w:sz w:val="24"/>
          <w:szCs w:val="24"/>
        </w:rPr>
      </w:pPr>
      <w:r w:rsidRPr="00E748B1">
        <w:rPr>
          <w:rFonts w:cstheme="minorHAnsi"/>
          <w:sz w:val="24"/>
          <w:szCs w:val="24"/>
        </w:rPr>
        <w:t>•</w:t>
      </w:r>
      <w:r w:rsidRPr="00E748B1">
        <w:rPr>
          <w:rFonts w:cstheme="minorHAnsi"/>
          <w:sz w:val="24"/>
          <w:szCs w:val="24"/>
        </w:rPr>
        <w:tab/>
        <w:t xml:space="preserve">The need for greater collaboration across activities, events, domains, groups, sectors, communities, whānau, </w:t>
      </w:r>
      <w:r w:rsidR="00585C28">
        <w:rPr>
          <w:rFonts w:cstheme="minorHAnsi"/>
          <w:sz w:val="24"/>
          <w:szCs w:val="24"/>
        </w:rPr>
        <w:t>hapū</w:t>
      </w:r>
      <w:r w:rsidRPr="00E748B1">
        <w:rPr>
          <w:rFonts w:cstheme="minorHAnsi"/>
          <w:sz w:val="24"/>
          <w:szCs w:val="24"/>
        </w:rPr>
        <w:t xml:space="preserve"> and iwi;</w:t>
      </w:r>
    </w:p>
    <w:p w14:paraId="6C6AE0A1" w14:textId="77777777" w:rsidR="002C1DD5" w:rsidRPr="00E748B1" w:rsidRDefault="002C1DD5" w:rsidP="00340429">
      <w:pPr>
        <w:spacing w:after="0" w:line="240" w:lineRule="auto"/>
        <w:ind w:left="284" w:right="45" w:hanging="284"/>
        <w:jc w:val="both"/>
        <w:rPr>
          <w:rFonts w:cstheme="minorHAnsi"/>
          <w:sz w:val="24"/>
          <w:szCs w:val="24"/>
        </w:rPr>
      </w:pPr>
      <w:r w:rsidRPr="00E748B1">
        <w:rPr>
          <w:rFonts w:cstheme="minorHAnsi"/>
          <w:sz w:val="24"/>
          <w:szCs w:val="24"/>
        </w:rPr>
        <w:t>•</w:t>
      </w:r>
      <w:r w:rsidRPr="00E748B1">
        <w:rPr>
          <w:rFonts w:cstheme="minorHAnsi"/>
          <w:sz w:val="24"/>
          <w:szCs w:val="24"/>
        </w:rPr>
        <w:tab/>
        <w:t>Better promotion of te reo Māori across all sectors including government, whānau, and language sectors; and</w:t>
      </w:r>
    </w:p>
    <w:p w14:paraId="5B387D2B" w14:textId="77777777" w:rsidR="002C1DD5" w:rsidRPr="00E748B1" w:rsidRDefault="002C1DD5" w:rsidP="00340429">
      <w:pPr>
        <w:spacing w:after="12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E748B1">
        <w:rPr>
          <w:rFonts w:cstheme="minorHAnsi"/>
          <w:sz w:val="24"/>
          <w:szCs w:val="24"/>
        </w:rPr>
        <w:t>•</w:t>
      </w:r>
      <w:r w:rsidRPr="00E748B1">
        <w:rPr>
          <w:rFonts w:cstheme="minorHAnsi"/>
          <w:sz w:val="24"/>
          <w:szCs w:val="24"/>
        </w:rPr>
        <w:tab/>
        <w:t>Easier access to investment, planning and resources by ensuring whānau and communities have access to the full range of opportunities available to them.</w:t>
      </w:r>
    </w:p>
    <w:p w14:paraId="2126BE0E" w14:textId="77777777" w:rsidR="00F86C0A" w:rsidRPr="00E748B1" w:rsidRDefault="00F86C0A" w:rsidP="00340429">
      <w:pPr>
        <w:spacing w:after="120" w:line="240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E748B1">
        <w:rPr>
          <w:rFonts w:cstheme="minorHAnsi"/>
          <w:b/>
          <w:sz w:val="24"/>
          <w:szCs w:val="24"/>
        </w:rPr>
        <w:t xml:space="preserve">Two </w:t>
      </w:r>
      <w:r w:rsidR="00DB519B" w:rsidRPr="00E748B1">
        <w:rPr>
          <w:rFonts w:cstheme="minorHAnsi"/>
          <w:b/>
          <w:sz w:val="24"/>
          <w:szCs w:val="24"/>
        </w:rPr>
        <w:t>ways to access</w:t>
      </w:r>
      <w:r w:rsidRPr="00E748B1">
        <w:rPr>
          <w:rFonts w:cstheme="minorHAnsi"/>
          <w:b/>
          <w:sz w:val="24"/>
          <w:szCs w:val="24"/>
        </w:rPr>
        <w:t xml:space="preserve"> Te </w:t>
      </w:r>
      <w:r w:rsidR="005D3E81" w:rsidRPr="00E748B1">
        <w:rPr>
          <w:rFonts w:cstheme="minorHAnsi"/>
          <w:b/>
          <w:sz w:val="24"/>
          <w:szCs w:val="24"/>
        </w:rPr>
        <w:t xml:space="preserve">Mātāuru </w:t>
      </w:r>
    </w:p>
    <w:p w14:paraId="6655D3FC" w14:textId="77777777" w:rsidR="008C201A" w:rsidRPr="00E748B1" w:rsidRDefault="007238A4" w:rsidP="007238A4">
      <w:pPr>
        <w:spacing w:after="120" w:line="240" w:lineRule="auto"/>
        <w:ind w:right="45"/>
        <w:jc w:val="both"/>
        <w:rPr>
          <w:rFonts w:cstheme="minorHAnsi"/>
          <w:sz w:val="24"/>
          <w:szCs w:val="24"/>
        </w:rPr>
      </w:pPr>
      <w:r w:rsidRPr="00E748B1">
        <w:rPr>
          <w:rFonts w:cstheme="minorHAnsi"/>
          <w:sz w:val="24"/>
          <w:szCs w:val="24"/>
        </w:rPr>
        <w:t xml:space="preserve">Te Mātāuru has two </w:t>
      </w:r>
      <w:r w:rsidR="00ED1EED" w:rsidRPr="00E748B1">
        <w:rPr>
          <w:rFonts w:cstheme="minorHAnsi"/>
          <w:sz w:val="24"/>
          <w:szCs w:val="24"/>
        </w:rPr>
        <w:t>categories</w:t>
      </w:r>
      <w:r w:rsidR="00585C28">
        <w:rPr>
          <w:rFonts w:cstheme="minorHAnsi"/>
          <w:sz w:val="24"/>
          <w:szCs w:val="24"/>
        </w:rPr>
        <w:t xml:space="preserve"> through which funding support may be accessed</w:t>
      </w:r>
      <w:r w:rsidRPr="00E748B1">
        <w:rPr>
          <w:rFonts w:cstheme="minorHAnsi"/>
          <w:sz w:val="24"/>
          <w:szCs w:val="24"/>
        </w:rPr>
        <w:t xml:space="preserve">: </w:t>
      </w:r>
    </w:p>
    <w:p w14:paraId="05B24D88" w14:textId="77777777" w:rsidR="008C201A" w:rsidRPr="00DC401A" w:rsidRDefault="00ED1EED" w:rsidP="008C201A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284" w:right="45" w:hanging="284"/>
        <w:jc w:val="both"/>
        <w:rPr>
          <w:rFonts w:cstheme="minorHAnsi"/>
          <w:sz w:val="24"/>
          <w:szCs w:val="24"/>
        </w:rPr>
      </w:pPr>
      <w:r w:rsidRPr="00DC401A">
        <w:rPr>
          <w:rFonts w:cstheme="minorHAnsi"/>
          <w:sz w:val="24"/>
          <w:szCs w:val="24"/>
          <w:lang w:val="en-US"/>
        </w:rPr>
        <w:t>Kāhui ā-Iwi: a category based on iwi affiliation</w:t>
      </w:r>
    </w:p>
    <w:p w14:paraId="24550BDC" w14:textId="77777777" w:rsidR="006F24C2" w:rsidRPr="00DC401A" w:rsidRDefault="00ED1EED" w:rsidP="006F24C2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284" w:right="45" w:hanging="284"/>
        <w:jc w:val="both"/>
        <w:rPr>
          <w:rFonts w:hAnsi="Calibri"/>
          <w:sz w:val="24"/>
          <w:szCs w:val="24"/>
        </w:rPr>
      </w:pPr>
      <w:r w:rsidRPr="00DC401A">
        <w:rPr>
          <w:rFonts w:cstheme="minorHAnsi"/>
          <w:sz w:val="24"/>
          <w:szCs w:val="24"/>
          <w:lang w:val="en-US"/>
        </w:rPr>
        <w:t xml:space="preserve">Kāhui ā-Reo Tukutuku: a </w:t>
      </w:r>
      <w:r w:rsidR="006F24C2" w:rsidRPr="00DC401A">
        <w:rPr>
          <w:rFonts w:cstheme="minorHAnsi"/>
          <w:sz w:val="24"/>
          <w:szCs w:val="24"/>
          <w:lang w:val="en-US"/>
        </w:rPr>
        <w:t xml:space="preserve">sector specific </w:t>
      </w:r>
      <w:r w:rsidRPr="00DC401A">
        <w:rPr>
          <w:rFonts w:cstheme="minorHAnsi"/>
          <w:sz w:val="24"/>
          <w:szCs w:val="24"/>
          <w:lang w:val="en-US"/>
        </w:rPr>
        <w:t>category</w:t>
      </w:r>
      <w:r w:rsidR="006F24C2" w:rsidRPr="00DC401A">
        <w:rPr>
          <w:rFonts w:cstheme="minorHAnsi"/>
          <w:sz w:val="24"/>
          <w:szCs w:val="24"/>
          <w:lang w:val="en-US"/>
        </w:rPr>
        <w:t xml:space="preserve"> for </w:t>
      </w:r>
      <w:r w:rsidR="006F24C2" w:rsidRPr="00DC401A">
        <w:rPr>
          <w:rFonts w:hAnsi="Calibri"/>
          <w:sz w:val="24"/>
          <w:szCs w:val="24"/>
        </w:rPr>
        <w:t>Te Mātauranga, Te Pāpā</w:t>
      </w:r>
      <w:r w:rsidR="00585C28">
        <w:rPr>
          <w:rFonts w:hAnsi="Calibri"/>
          <w:sz w:val="24"/>
          <w:szCs w:val="24"/>
        </w:rPr>
        <w:t>ho and</w:t>
      </w:r>
      <w:r w:rsidR="006F24C2" w:rsidRPr="00DC401A">
        <w:rPr>
          <w:rFonts w:hAnsi="Calibri"/>
          <w:sz w:val="24"/>
          <w:szCs w:val="24"/>
        </w:rPr>
        <w:t xml:space="preserve"> Te Hapori projects and activities.</w:t>
      </w:r>
    </w:p>
    <w:p w14:paraId="6DB4CC43" w14:textId="77777777" w:rsidR="007238A4" w:rsidRPr="00E748B1" w:rsidRDefault="00F86C0A" w:rsidP="008C201A">
      <w:pPr>
        <w:spacing w:after="120" w:line="240" w:lineRule="auto"/>
        <w:ind w:right="45"/>
        <w:jc w:val="both"/>
        <w:rPr>
          <w:rFonts w:cstheme="minorHAnsi"/>
          <w:sz w:val="24"/>
          <w:szCs w:val="24"/>
        </w:rPr>
      </w:pPr>
      <w:r w:rsidRPr="00E748B1">
        <w:rPr>
          <w:rFonts w:cstheme="minorHAnsi"/>
          <w:sz w:val="24"/>
          <w:szCs w:val="24"/>
        </w:rPr>
        <w:t>The po</w:t>
      </w:r>
      <w:r w:rsidR="008C201A" w:rsidRPr="00E748B1">
        <w:rPr>
          <w:rFonts w:cstheme="minorHAnsi"/>
          <w:sz w:val="24"/>
          <w:szCs w:val="24"/>
        </w:rPr>
        <w:t>ints of difference between the two</w:t>
      </w:r>
      <w:r w:rsidR="00973976" w:rsidRPr="00E748B1">
        <w:rPr>
          <w:rFonts w:cstheme="minorHAnsi"/>
          <w:sz w:val="24"/>
          <w:szCs w:val="24"/>
        </w:rPr>
        <w:t xml:space="preserve"> categorie</w:t>
      </w:r>
      <w:r w:rsidRPr="00E748B1">
        <w:rPr>
          <w:rFonts w:cstheme="minorHAnsi"/>
          <w:sz w:val="24"/>
          <w:szCs w:val="24"/>
        </w:rPr>
        <w:t xml:space="preserve">s </w:t>
      </w:r>
      <w:r w:rsidR="007238A4" w:rsidRPr="00E748B1">
        <w:rPr>
          <w:rFonts w:cstheme="minorHAnsi"/>
          <w:sz w:val="24"/>
          <w:szCs w:val="24"/>
        </w:rPr>
        <w:t>are presented in the following 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8"/>
        <w:gridCol w:w="3854"/>
        <w:gridCol w:w="3634"/>
      </w:tblGrid>
      <w:tr w:rsidR="00DB519B" w:rsidRPr="00E748B1" w14:paraId="01AB8C8B" w14:textId="77777777" w:rsidTr="003E5877">
        <w:tc>
          <w:tcPr>
            <w:tcW w:w="1528" w:type="dxa"/>
            <w:shd w:val="clear" w:color="auto" w:fill="1F3864" w:themeFill="accent5" w:themeFillShade="80"/>
          </w:tcPr>
          <w:p w14:paraId="4C0D2245" w14:textId="77777777" w:rsidR="00DB519B" w:rsidRPr="00E748B1" w:rsidRDefault="00DB519B" w:rsidP="00DB2684">
            <w:pPr>
              <w:spacing w:after="120"/>
              <w:ind w:right="45"/>
              <w:rPr>
                <w:rFonts w:cstheme="minorHAnsi"/>
                <w:b/>
                <w:sz w:val="24"/>
                <w:szCs w:val="24"/>
              </w:rPr>
            </w:pPr>
            <w:r w:rsidRPr="00E748B1">
              <w:rPr>
                <w:rFonts w:cstheme="minorHAnsi"/>
                <w:b/>
                <w:sz w:val="24"/>
                <w:szCs w:val="24"/>
              </w:rPr>
              <w:t>Components</w:t>
            </w:r>
          </w:p>
        </w:tc>
        <w:tc>
          <w:tcPr>
            <w:tcW w:w="3854" w:type="dxa"/>
            <w:shd w:val="clear" w:color="auto" w:fill="1F3864" w:themeFill="accent5" w:themeFillShade="80"/>
          </w:tcPr>
          <w:p w14:paraId="2EE89BB1" w14:textId="77777777" w:rsidR="00DB519B" w:rsidRPr="00E748B1" w:rsidRDefault="00ED1EED" w:rsidP="00DB2684">
            <w:pPr>
              <w:spacing w:after="120"/>
              <w:ind w:right="45"/>
              <w:rPr>
                <w:rFonts w:cstheme="minorHAnsi"/>
                <w:b/>
                <w:sz w:val="24"/>
                <w:szCs w:val="24"/>
              </w:rPr>
            </w:pPr>
            <w:r w:rsidRPr="00E748B1">
              <w:rPr>
                <w:rFonts w:cstheme="minorHAnsi"/>
                <w:b/>
                <w:sz w:val="24"/>
                <w:szCs w:val="24"/>
                <w:lang w:val="en-US"/>
              </w:rPr>
              <w:t>Kāhui ā-Iwi</w:t>
            </w:r>
          </w:p>
        </w:tc>
        <w:tc>
          <w:tcPr>
            <w:tcW w:w="3634" w:type="dxa"/>
            <w:shd w:val="clear" w:color="auto" w:fill="1F3864" w:themeFill="accent5" w:themeFillShade="80"/>
          </w:tcPr>
          <w:p w14:paraId="2CA99AFC" w14:textId="77777777" w:rsidR="00DB519B" w:rsidRPr="00E748B1" w:rsidRDefault="00546AE5" w:rsidP="00DB2684">
            <w:pPr>
              <w:spacing w:after="120"/>
              <w:ind w:right="45"/>
              <w:rPr>
                <w:rFonts w:cstheme="minorHAnsi"/>
                <w:b/>
                <w:sz w:val="24"/>
                <w:szCs w:val="24"/>
              </w:rPr>
            </w:pPr>
            <w:r w:rsidRPr="00E748B1">
              <w:rPr>
                <w:rFonts w:cstheme="minorHAnsi"/>
                <w:b/>
                <w:sz w:val="24"/>
                <w:szCs w:val="24"/>
                <w:lang w:val="en-US"/>
              </w:rPr>
              <w:t>Kāhui ā-Reo Tukutuku</w:t>
            </w:r>
          </w:p>
        </w:tc>
      </w:tr>
      <w:tr w:rsidR="00DB519B" w:rsidRPr="00E748B1" w14:paraId="7187B3CB" w14:textId="77777777" w:rsidTr="003E5877">
        <w:tc>
          <w:tcPr>
            <w:tcW w:w="1528" w:type="dxa"/>
          </w:tcPr>
          <w:p w14:paraId="2D3B5F8D" w14:textId="77777777" w:rsidR="00DB519B" w:rsidRPr="00E748B1" w:rsidRDefault="00DB519B" w:rsidP="00DB2684">
            <w:pPr>
              <w:spacing w:after="120"/>
              <w:ind w:right="45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748B1">
              <w:rPr>
                <w:rFonts w:cstheme="minorHAnsi"/>
                <w:b/>
                <w:sz w:val="24"/>
                <w:szCs w:val="24"/>
              </w:rPr>
              <w:t>Purpose</w:t>
            </w:r>
          </w:p>
        </w:tc>
        <w:tc>
          <w:tcPr>
            <w:tcW w:w="3854" w:type="dxa"/>
          </w:tcPr>
          <w:p w14:paraId="59CD80C3" w14:textId="77777777" w:rsidR="00DB519B" w:rsidRPr="00E748B1" w:rsidRDefault="00546AE5" w:rsidP="00546AE5">
            <w:pPr>
              <w:spacing w:after="120"/>
              <w:ind w:right="45"/>
              <w:jc w:val="both"/>
              <w:rPr>
                <w:rFonts w:cstheme="minorHAnsi"/>
                <w:sz w:val="24"/>
                <w:szCs w:val="24"/>
              </w:rPr>
            </w:pPr>
            <w:r w:rsidRPr="00E748B1">
              <w:rPr>
                <w:rFonts w:cstheme="minorHAnsi"/>
                <w:sz w:val="24"/>
                <w:szCs w:val="24"/>
              </w:rPr>
              <w:t xml:space="preserve">To support </w:t>
            </w:r>
            <w:r w:rsidR="00DB519B" w:rsidRPr="00E748B1">
              <w:rPr>
                <w:rFonts w:cstheme="minorHAnsi"/>
                <w:sz w:val="24"/>
                <w:szCs w:val="24"/>
              </w:rPr>
              <w:t>iwi affiliated initiatives</w:t>
            </w:r>
            <w:r w:rsidR="00585C2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634" w:type="dxa"/>
          </w:tcPr>
          <w:p w14:paraId="3BD18FD5" w14:textId="77777777" w:rsidR="00DB519B" w:rsidRPr="00E748B1" w:rsidRDefault="00DB519B" w:rsidP="00DB2684">
            <w:pPr>
              <w:spacing w:after="120"/>
              <w:ind w:right="45"/>
              <w:jc w:val="both"/>
              <w:rPr>
                <w:rFonts w:cstheme="minorHAnsi"/>
                <w:sz w:val="24"/>
                <w:szCs w:val="24"/>
              </w:rPr>
            </w:pPr>
            <w:r w:rsidRPr="00E748B1">
              <w:rPr>
                <w:rFonts w:cstheme="minorHAnsi"/>
                <w:sz w:val="24"/>
                <w:szCs w:val="24"/>
              </w:rPr>
              <w:t xml:space="preserve">To support </w:t>
            </w:r>
            <w:r w:rsidR="00585C28">
              <w:rPr>
                <w:rFonts w:cstheme="minorHAnsi"/>
                <w:sz w:val="24"/>
                <w:szCs w:val="24"/>
              </w:rPr>
              <w:t xml:space="preserve">sector specific projects that occur on a </w:t>
            </w:r>
            <w:r w:rsidRPr="00E748B1">
              <w:rPr>
                <w:rFonts w:cstheme="minorHAnsi"/>
                <w:sz w:val="24"/>
                <w:szCs w:val="24"/>
              </w:rPr>
              <w:t>natio</w:t>
            </w:r>
            <w:r w:rsidR="00585C28">
              <w:rPr>
                <w:rFonts w:cstheme="minorHAnsi"/>
                <w:sz w:val="24"/>
                <w:szCs w:val="24"/>
              </w:rPr>
              <w:t>nal and multi-region level.</w:t>
            </w:r>
          </w:p>
        </w:tc>
      </w:tr>
      <w:tr w:rsidR="00DB519B" w:rsidRPr="00E748B1" w14:paraId="6EA3F5ED" w14:textId="77777777" w:rsidTr="003E5877">
        <w:tc>
          <w:tcPr>
            <w:tcW w:w="1528" w:type="dxa"/>
          </w:tcPr>
          <w:p w14:paraId="7E0975A4" w14:textId="77777777" w:rsidR="00DB519B" w:rsidRPr="00E748B1" w:rsidRDefault="00DB519B" w:rsidP="003E5877">
            <w:pPr>
              <w:spacing w:after="120"/>
              <w:ind w:right="45"/>
              <w:rPr>
                <w:rFonts w:cstheme="minorHAnsi"/>
                <w:b/>
                <w:sz w:val="24"/>
                <w:szCs w:val="24"/>
              </w:rPr>
            </w:pPr>
            <w:r w:rsidRPr="00E748B1">
              <w:rPr>
                <w:rFonts w:cstheme="minorHAnsi"/>
                <w:b/>
                <w:sz w:val="24"/>
                <w:szCs w:val="24"/>
              </w:rPr>
              <w:t>Who can apply</w:t>
            </w:r>
          </w:p>
        </w:tc>
        <w:tc>
          <w:tcPr>
            <w:tcW w:w="3854" w:type="dxa"/>
          </w:tcPr>
          <w:p w14:paraId="4BF3215E" w14:textId="77777777" w:rsidR="00DB519B" w:rsidRPr="00585C28" w:rsidRDefault="00DB519B" w:rsidP="00DB2684">
            <w:pPr>
              <w:spacing w:after="120"/>
              <w:ind w:right="45"/>
              <w:jc w:val="both"/>
              <w:rPr>
                <w:rFonts w:hAnsi="Calibri"/>
                <w:sz w:val="24"/>
                <w:szCs w:val="24"/>
              </w:rPr>
            </w:pPr>
            <w:r w:rsidRPr="00585C28">
              <w:rPr>
                <w:rFonts w:hAnsi="Calibri"/>
                <w:sz w:val="24"/>
                <w:szCs w:val="24"/>
              </w:rPr>
              <w:t xml:space="preserve">Any person </w:t>
            </w:r>
            <w:r w:rsidR="00973976" w:rsidRPr="00585C28">
              <w:rPr>
                <w:rFonts w:hAnsi="Calibri"/>
                <w:sz w:val="24"/>
                <w:szCs w:val="24"/>
              </w:rPr>
              <w:t xml:space="preserve">or organisation </w:t>
            </w:r>
            <w:r w:rsidRPr="00585C28">
              <w:rPr>
                <w:rFonts w:hAnsi="Calibri"/>
                <w:sz w:val="24"/>
                <w:szCs w:val="24"/>
              </w:rPr>
              <w:t xml:space="preserve">who affiliates to an </w:t>
            </w:r>
            <w:r w:rsidRPr="00585C28">
              <w:rPr>
                <w:rFonts w:cstheme="minorHAnsi"/>
                <w:sz w:val="24"/>
                <w:szCs w:val="24"/>
              </w:rPr>
              <w:t>iwi or hapū listed in Te Ture mō Te Reo Māori 2016</w:t>
            </w:r>
            <w:r w:rsidRPr="00585C28">
              <w:rPr>
                <w:rFonts w:hAnsi="Calibri"/>
                <w:sz w:val="24"/>
                <w:szCs w:val="24"/>
              </w:rPr>
              <w:t xml:space="preserve"> may apply for investment funding under</w:t>
            </w:r>
            <w:r w:rsidR="00300882" w:rsidRPr="00585C28">
              <w:rPr>
                <w:rFonts w:hAnsi="Calibri"/>
                <w:sz w:val="24"/>
                <w:szCs w:val="24"/>
              </w:rPr>
              <w:t xml:space="preserve"> Te Mātāuru Kāhui ā-Iwi Category</w:t>
            </w:r>
            <w:r w:rsidRPr="00585C28">
              <w:rPr>
                <w:rFonts w:hAnsi="Calibri"/>
                <w:sz w:val="24"/>
                <w:szCs w:val="24"/>
              </w:rPr>
              <w:t xml:space="preserve">.  </w:t>
            </w:r>
          </w:p>
          <w:p w14:paraId="4953F8AD" w14:textId="77777777" w:rsidR="00340429" w:rsidRPr="00585C28" w:rsidRDefault="00DB519B" w:rsidP="00DB2684">
            <w:pPr>
              <w:spacing w:after="120"/>
              <w:ind w:right="45"/>
              <w:jc w:val="both"/>
              <w:rPr>
                <w:rFonts w:hAnsi="Calibri"/>
                <w:sz w:val="24"/>
                <w:szCs w:val="24"/>
              </w:rPr>
            </w:pPr>
            <w:r w:rsidRPr="00585C28">
              <w:rPr>
                <w:rFonts w:hAnsi="Calibri"/>
                <w:sz w:val="24"/>
                <w:szCs w:val="24"/>
              </w:rPr>
              <w:t xml:space="preserve">Note that </w:t>
            </w:r>
            <w:r w:rsidR="00300882" w:rsidRPr="00585C28">
              <w:rPr>
                <w:rFonts w:hAnsi="Calibri"/>
                <w:sz w:val="24"/>
                <w:szCs w:val="24"/>
              </w:rPr>
              <w:t xml:space="preserve">applicants </w:t>
            </w:r>
            <w:r w:rsidRPr="00585C28">
              <w:rPr>
                <w:rFonts w:hAnsi="Calibri"/>
                <w:sz w:val="24"/>
                <w:szCs w:val="24"/>
              </w:rPr>
              <w:t>do not have to be residing in their tribal</w:t>
            </w:r>
            <w:r w:rsidR="00340429" w:rsidRPr="00585C28">
              <w:rPr>
                <w:rFonts w:hAnsi="Calibri"/>
                <w:sz w:val="24"/>
                <w:szCs w:val="24"/>
              </w:rPr>
              <w:t xml:space="preserve"> areas</w:t>
            </w:r>
            <w:r w:rsidRPr="00585C28">
              <w:rPr>
                <w:rFonts w:hAnsi="Calibri"/>
                <w:sz w:val="24"/>
                <w:szCs w:val="24"/>
              </w:rPr>
              <w:t>.</w:t>
            </w:r>
            <w:r w:rsidR="00340429" w:rsidRPr="00585C28">
              <w:rPr>
                <w:rFonts w:hAnsi="Calibri"/>
                <w:sz w:val="24"/>
                <w:szCs w:val="24"/>
              </w:rPr>
              <w:t xml:space="preserve"> </w:t>
            </w:r>
          </w:p>
          <w:p w14:paraId="3577E368" w14:textId="77777777" w:rsidR="00DB519B" w:rsidRPr="00585C28" w:rsidRDefault="00DB519B" w:rsidP="00DB2684">
            <w:pPr>
              <w:spacing w:after="120"/>
              <w:ind w:right="45"/>
              <w:jc w:val="both"/>
              <w:rPr>
                <w:rFonts w:hAnsi="Calibri"/>
                <w:sz w:val="24"/>
                <w:szCs w:val="24"/>
              </w:rPr>
            </w:pPr>
            <w:r w:rsidRPr="00585C28">
              <w:rPr>
                <w:rFonts w:hAnsi="Calibri"/>
                <w:sz w:val="24"/>
                <w:szCs w:val="24"/>
              </w:rPr>
              <w:t>Applicants must be a New Zealand citizen, permanent resident or an organisation based</w:t>
            </w:r>
            <w:r w:rsidR="003E5877" w:rsidRPr="00585C28">
              <w:rPr>
                <w:rFonts w:hAnsi="Calibri"/>
                <w:sz w:val="24"/>
                <w:szCs w:val="24"/>
              </w:rPr>
              <w:t xml:space="preserve"> and delivering services</w:t>
            </w:r>
            <w:r w:rsidRPr="00585C28">
              <w:rPr>
                <w:rFonts w:hAnsi="Calibri"/>
                <w:sz w:val="24"/>
                <w:szCs w:val="24"/>
              </w:rPr>
              <w:t xml:space="preserve"> in New Zealand.</w:t>
            </w:r>
          </w:p>
        </w:tc>
        <w:tc>
          <w:tcPr>
            <w:tcW w:w="3634" w:type="dxa"/>
          </w:tcPr>
          <w:p w14:paraId="535BEF76" w14:textId="77777777" w:rsidR="00300882" w:rsidRPr="00585C28" w:rsidRDefault="00300882" w:rsidP="00300882">
            <w:pPr>
              <w:pStyle w:val="BulletText1"/>
              <w:numPr>
                <w:ilvl w:val="0"/>
                <w:numId w:val="0"/>
              </w:numPr>
              <w:spacing w:after="120"/>
              <w:jc w:val="both"/>
              <w:rPr>
                <w:rFonts w:hAnsi="Calibri"/>
                <w:szCs w:val="24"/>
              </w:rPr>
            </w:pPr>
            <w:r w:rsidRPr="00585C28">
              <w:rPr>
                <w:rFonts w:hAnsi="Calibri"/>
                <w:szCs w:val="24"/>
              </w:rPr>
              <w:t>Any person or organisation who affiliates any of the other Reo Tukutuku sector groups including:</w:t>
            </w:r>
          </w:p>
          <w:p w14:paraId="08FE642D" w14:textId="77777777" w:rsidR="00300882" w:rsidRPr="00585C28" w:rsidRDefault="00300882" w:rsidP="00300882">
            <w:pPr>
              <w:pStyle w:val="BulletText1"/>
              <w:numPr>
                <w:ilvl w:val="0"/>
                <w:numId w:val="0"/>
              </w:numPr>
              <w:spacing w:after="120"/>
              <w:jc w:val="both"/>
              <w:rPr>
                <w:rFonts w:hAnsi="Calibri"/>
                <w:szCs w:val="24"/>
              </w:rPr>
            </w:pPr>
            <w:r w:rsidRPr="00585C28">
              <w:rPr>
                <w:rFonts w:hAnsi="Calibri"/>
                <w:b/>
                <w:szCs w:val="24"/>
              </w:rPr>
              <w:t>Te Mātauranga</w:t>
            </w:r>
            <w:r w:rsidRPr="00585C28">
              <w:rPr>
                <w:rFonts w:hAnsi="Calibri"/>
                <w:szCs w:val="24"/>
              </w:rPr>
              <w:t xml:space="preserve"> </w:t>
            </w:r>
          </w:p>
          <w:p w14:paraId="2255D1D0" w14:textId="77777777" w:rsidR="00300882" w:rsidRPr="00585C28" w:rsidRDefault="00300882" w:rsidP="00300882">
            <w:pPr>
              <w:pStyle w:val="BulletText1"/>
              <w:numPr>
                <w:ilvl w:val="0"/>
                <w:numId w:val="0"/>
              </w:numPr>
              <w:spacing w:after="120"/>
              <w:ind w:left="317" w:hanging="283"/>
              <w:jc w:val="both"/>
              <w:rPr>
                <w:rFonts w:hAnsi="Calibri"/>
                <w:szCs w:val="24"/>
              </w:rPr>
            </w:pPr>
            <w:r w:rsidRPr="00585C28">
              <w:rPr>
                <w:rFonts w:hAnsi="Calibri"/>
                <w:szCs w:val="24"/>
              </w:rPr>
              <w:t xml:space="preserve">(a) ko Te Kōhanga Reo National Trust </w:t>
            </w:r>
          </w:p>
          <w:p w14:paraId="515EECA2" w14:textId="77777777" w:rsidR="00300882" w:rsidRPr="00585C28" w:rsidRDefault="00300882" w:rsidP="00300882">
            <w:pPr>
              <w:pStyle w:val="BulletText1"/>
              <w:numPr>
                <w:ilvl w:val="0"/>
                <w:numId w:val="0"/>
              </w:numPr>
              <w:spacing w:after="120"/>
              <w:ind w:left="317" w:hanging="283"/>
              <w:jc w:val="both"/>
              <w:rPr>
                <w:rFonts w:hAnsi="Calibri"/>
                <w:szCs w:val="24"/>
              </w:rPr>
            </w:pPr>
            <w:r w:rsidRPr="00585C28">
              <w:rPr>
                <w:rFonts w:hAnsi="Calibri"/>
                <w:szCs w:val="24"/>
              </w:rPr>
              <w:t xml:space="preserve">(b) ko Te Rūnanga Nui o Ngā Kura Kaupapa Māori o Aotearoa </w:t>
            </w:r>
          </w:p>
          <w:p w14:paraId="41A8D50C" w14:textId="77777777" w:rsidR="00300882" w:rsidRPr="00585C28" w:rsidRDefault="00300882" w:rsidP="00300882">
            <w:pPr>
              <w:pStyle w:val="BulletText1"/>
              <w:numPr>
                <w:ilvl w:val="0"/>
                <w:numId w:val="0"/>
              </w:numPr>
              <w:spacing w:after="120"/>
              <w:ind w:left="317" w:hanging="283"/>
              <w:jc w:val="both"/>
              <w:rPr>
                <w:rFonts w:hAnsi="Calibri"/>
                <w:szCs w:val="24"/>
              </w:rPr>
            </w:pPr>
            <w:r w:rsidRPr="00585C28">
              <w:rPr>
                <w:rFonts w:hAnsi="Calibri"/>
                <w:szCs w:val="24"/>
              </w:rPr>
              <w:t xml:space="preserve">(c) ko Te Ringa Raupā o ngā Kura ā-Iwi </w:t>
            </w:r>
          </w:p>
          <w:p w14:paraId="0502112B" w14:textId="77777777" w:rsidR="00300882" w:rsidRPr="00585C28" w:rsidRDefault="00300882" w:rsidP="00300882">
            <w:pPr>
              <w:pStyle w:val="BulletText1"/>
              <w:numPr>
                <w:ilvl w:val="0"/>
                <w:numId w:val="0"/>
              </w:numPr>
              <w:spacing w:after="120"/>
              <w:ind w:left="317" w:hanging="283"/>
              <w:jc w:val="both"/>
              <w:rPr>
                <w:rFonts w:hAnsi="Calibri"/>
                <w:szCs w:val="24"/>
              </w:rPr>
            </w:pPr>
            <w:r w:rsidRPr="00585C28">
              <w:rPr>
                <w:rFonts w:hAnsi="Calibri"/>
                <w:szCs w:val="24"/>
              </w:rPr>
              <w:t xml:space="preserve">(d) ko Te Tauihu o Ngā Wānanga </w:t>
            </w:r>
          </w:p>
          <w:p w14:paraId="3B595000" w14:textId="77777777" w:rsidR="00300882" w:rsidRPr="00585C28" w:rsidRDefault="00300882" w:rsidP="00300882">
            <w:pPr>
              <w:pStyle w:val="BulletText1"/>
              <w:numPr>
                <w:ilvl w:val="0"/>
                <w:numId w:val="0"/>
              </w:numPr>
              <w:spacing w:after="120"/>
              <w:jc w:val="both"/>
              <w:rPr>
                <w:rFonts w:hAnsi="Calibri"/>
                <w:szCs w:val="24"/>
              </w:rPr>
            </w:pPr>
            <w:r w:rsidRPr="00585C28">
              <w:rPr>
                <w:rFonts w:hAnsi="Calibri"/>
                <w:b/>
                <w:szCs w:val="24"/>
              </w:rPr>
              <w:t>Te Pāpāho</w:t>
            </w:r>
            <w:r w:rsidRPr="00585C28">
              <w:rPr>
                <w:rFonts w:hAnsi="Calibri"/>
                <w:szCs w:val="24"/>
              </w:rPr>
              <w:t xml:space="preserve"> </w:t>
            </w:r>
          </w:p>
          <w:p w14:paraId="6C5EDE5F" w14:textId="77777777" w:rsidR="00300882" w:rsidRPr="00585C28" w:rsidRDefault="00300882" w:rsidP="00300882">
            <w:pPr>
              <w:pStyle w:val="BulletText1"/>
              <w:numPr>
                <w:ilvl w:val="0"/>
                <w:numId w:val="0"/>
              </w:numPr>
              <w:spacing w:after="120"/>
              <w:ind w:left="459" w:hanging="425"/>
              <w:jc w:val="both"/>
              <w:rPr>
                <w:rFonts w:hAnsi="Calibri"/>
                <w:szCs w:val="24"/>
              </w:rPr>
            </w:pPr>
            <w:r w:rsidRPr="00585C28">
              <w:rPr>
                <w:rFonts w:hAnsi="Calibri"/>
                <w:szCs w:val="24"/>
              </w:rPr>
              <w:t xml:space="preserve">(e) ko Te Whakaruruhau o ngā Reo Irirangi Māori o Aotearoa </w:t>
            </w:r>
          </w:p>
          <w:p w14:paraId="0E85E291" w14:textId="77777777" w:rsidR="00300882" w:rsidRPr="00585C28" w:rsidRDefault="00300882" w:rsidP="00300882">
            <w:pPr>
              <w:pStyle w:val="BulletText1"/>
              <w:numPr>
                <w:ilvl w:val="0"/>
                <w:numId w:val="0"/>
              </w:numPr>
              <w:spacing w:after="120"/>
              <w:ind w:left="459" w:hanging="425"/>
              <w:jc w:val="both"/>
              <w:rPr>
                <w:rFonts w:hAnsi="Calibri"/>
                <w:szCs w:val="24"/>
              </w:rPr>
            </w:pPr>
            <w:r w:rsidRPr="00585C28">
              <w:rPr>
                <w:rFonts w:hAnsi="Calibri"/>
                <w:szCs w:val="24"/>
              </w:rPr>
              <w:t xml:space="preserve">(f) ko Ngā Aho Whakaari </w:t>
            </w:r>
          </w:p>
          <w:p w14:paraId="4151987C" w14:textId="77777777" w:rsidR="00300882" w:rsidRPr="00585C28" w:rsidRDefault="00300882" w:rsidP="00300882">
            <w:pPr>
              <w:pStyle w:val="BulletText1"/>
              <w:numPr>
                <w:ilvl w:val="0"/>
                <w:numId w:val="0"/>
              </w:numPr>
              <w:spacing w:after="120"/>
              <w:jc w:val="both"/>
              <w:rPr>
                <w:rFonts w:hAnsi="Calibri"/>
                <w:b/>
                <w:szCs w:val="24"/>
              </w:rPr>
            </w:pPr>
            <w:r w:rsidRPr="00585C28">
              <w:rPr>
                <w:rFonts w:hAnsi="Calibri"/>
                <w:b/>
                <w:szCs w:val="24"/>
              </w:rPr>
              <w:t xml:space="preserve">Te Hapori </w:t>
            </w:r>
          </w:p>
          <w:p w14:paraId="7253B5A5" w14:textId="77777777" w:rsidR="00300882" w:rsidRPr="00585C28" w:rsidRDefault="00300882" w:rsidP="00300882">
            <w:pPr>
              <w:pStyle w:val="BulletText1"/>
              <w:numPr>
                <w:ilvl w:val="0"/>
                <w:numId w:val="0"/>
              </w:numPr>
              <w:spacing w:after="120"/>
              <w:ind w:left="317" w:hanging="317"/>
              <w:jc w:val="both"/>
              <w:rPr>
                <w:rFonts w:hAnsi="Calibri"/>
                <w:szCs w:val="24"/>
              </w:rPr>
            </w:pPr>
            <w:r w:rsidRPr="00585C28">
              <w:rPr>
                <w:rFonts w:hAnsi="Calibri"/>
                <w:szCs w:val="24"/>
              </w:rPr>
              <w:t>(g) ko Te Rūnanga o Te Ātaarangi Trust:</w:t>
            </w:r>
          </w:p>
          <w:p w14:paraId="106C6AAA" w14:textId="77777777" w:rsidR="00300882" w:rsidRPr="00585C28" w:rsidRDefault="00300882" w:rsidP="00300882">
            <w:pPr>
              <w:pStyle w:val="BulletText1"/>
              <w:numPr>
                <w:ilvl w:val="0"/>
                <w:numId w:val="0"/>
              </w:numPr>
              <w:spacing w:after="120"/>
              <w:ind w:left="317" w:hanging="317"/>
              <w:jc w:val="both"/>
              <w:rPr>
                <w:rFonts w:hAnsi="Calibri"/>
                <w:szCs w:val="24"/>
              </w:rPr>
            </w:pPr>
            <w:r w:rsidRPr="00585C28">
              <w:rPr>
                <w:rFonts w:hAnsi="Calibri"/>
                <w:szCs w:val="24"/>
              </w:rPr>
              <w:t xml:space="preserve">(h) ko Te Rōpū Wāhine Māori Toko i te Ora </w:t>
            </w:r>
          </w:p>
          <w:p w14:paraId="2A44A8A4" w14:textId="77777777" w:rsidR="00300882" w:rsidRPr="00585C28" w:rsidRDefault="00300882" w:rsidP="00300882">
            <w:pPr>
              <w:pStyle w:val="BulletText1"/>
              <w:numPr>
                <w:ilvl w:val="0"/>
                <w:numId w:val="0"/>
              </w:numPr>
              <w:spacing w:after="120"/>
              <w:ind w:left="317" w:hanging="317"/>
              <w:jc w:val="both"/>
              <w:rPr>
                <w:rFonts w:hAnsi="Calibri"/>
                <w:szCs w:val="24"/>
              </w:rPr>
            </w:pPr>
            <w:r w:rsidRPr="00585C28">
              <w:rPr>
                <w:rFonts w:hAnsi="Calibri"/>
                <w:szCs w:val="24"/>
              </w:rPr>
              <w:t xml:space="preserve">(i) ko Te Kaunihera Māori: Te Hunga Noho Tāone </w:t>
            </w:r>
          </w:p>
          <w:p w14:paraId="27066DDA" w14:textId="77777777" w:rsidR="00300882" w:rsidRPr="00585C28" w:rsidRDefault="00300882" w:rsidP="00300882">
            <w:pPr>
              <w:pStyle w:val="BulletText1"/>
              <w:numPr>
                <w:ilvl w:val="0"/>
                <w:numId w:val="0"/>
              </w:numPr>
              <w:spacing w:after="120"/>
              <w:ind w:left="317" w:hanging="317"/>
              <w:jc w:val="both"/>
              <w:rPr>
                <w:rFonts w:hAnsi="Calibri"/>
                <w:szCs w:val="24"/>
              </w:rPr>
            </w:pPr>
            <w:r w:rsidRPr="00585C28">
              <w:rPr>
                <w:rFonts w:hAnsi="Calibri"/>
                <w:szCs w:val="24"/>
              </w:rPr>
              <w:t>(j) ko te National Urban Māori Authority.</w:t>
            </w:r>
          </w:p>
          <w:p w14:paraId="3CB1089B" w14:textId="77777777" w:rsidR="00DB519B" w:rsidRPr="00585C28" w:rsidRDefault="00300882" w:rsidP="00585C28">
            <w:pPr>
              <w:spacing w:after="120"/>
              <w:ind w:right="45"/>
              <w:jc w:val="both"/>
              <w:rPr>
                <w:rFonts w:cstheme="minorHAnsi"/>
                <w:sz w:val="24"/>
                <w:szCs w:val="24"/>
              </w:rPr>
            </w:pPr>
            <w:r w:rsidRPr="00585C28">
              <w:rPr>
                <w:rFonts w:hAnsi="Calibri"/>
                <w:sz w:val="24"/>
                <w:szCs w:val="24"/>
              </w:rPr>
              <w:t xml:space="preserve">Applicants must also be able to demonstrate existing or growing capability in these areas as well as an ability to deliver the </w:t>
            </w:r>
            <w:r w:rsidR="00585C28">
              <w:rPr>
                <w:rFonts w:hAnsi="Calibri"/>
                <w:sz w:val="24"/>
                <w:szCs w:val="24"/>
              </w:rPr>
              <w:t xml:space="preserve">initiatives </w:t>
            </w:r>
            <w:r w:rsidRPr="00585C28">
              <w:rPr>
                <w:rFonts w:hAnsi="Calibri"/>
                <w:sz w:val="24"/>
                <w:szCs w:val="24"/>
              </w:rPr>
              <w:t>or goods in te reo Māori.</w:t>
            </w:r>
          </w:p>
        </w:tc>
      </w:tr>
    </w:tbl>
    <w:p w14:paraId="231E7A36" w14:textId="77777777" w:rsidR="00300882" w:rsidRDefault="00300882" w:rsidP="007238A4">
      <w:pPr>
        <w:spacing w:after="120" w:line="240" w:lineRule="auto"/>
        <w:ind w:left="284" w:hanging="284"/>
        <w:jc w:val="both"/>
        <w:rPr>
          <w:rFonts w:cstheme="minorHAnsi"/>
          <w:b/>
          <w:sz w:val="24"/>
          <w:szCs w:val="24"/>
        </w:rPr>
      </w:pPr>
    </w:p>
    <w:p w14:paraId="63433FDC" w14:textId="77777777" w:rsidR="00C715DD" w:rsidRPr="00E748B1" w:rsidRDefault="00C715DD" w:rsidP="007238A4">
      <w:pPr>
        <w:spacing w:after="120" w:line="240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E748B1">
        <w:rPr>
          <w:rFonts w:cstheme="minorHAnsi"/>
          <w:b/>
          <w:sz w:val="24"/>
          <w:szCs w:val="24"/>
        </w:rPr>
        <w:t>How to apply</w:t>
      </w:r>
    </w:p>
    <w:p w14:paraId="25F5B763" w14:textId="77777777" w:rsidR="00FA0E64" w:rsidRPr="00E748B1" w:rsidRDefault="003D6604" w:rsidP="00FA0E64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E748B1">
        <w:rPr>
          <w:rFonts w:cstheme="minorHAnsi"/>
          <w:sz w:val="24"/>
          <w:szCs w:val="24"/>
        </w:rPr>
        <w:t>D</w:t>
      </w:r>
      <w:r w:rsidR="008073D4" w:rsidRPr="00E748B1">
        <w:rPr>
          <w:rFonts w:cstheme="minorHAnsi"/>
          <w:sz w:val="24"/>
          <w:szCs w:val="24"/>
        </w:rPr>
        <w:t>iagram</w:t>
      </w:r>
      <w:r w:rsidRPr="00E748B1">
        <w:rPr>
          <w:rFonts w:cstheme="minorHAnsi"/>
          <w:sz w:val="24"/>
          <w:szCs w:val="24"/>
        </w:rPr>
        <w:t xml:space="preserve"> Two</w:t>
      </w:r>
      <w:r w:rsidR="008073D4" w:rsidRPr="00E748B1">
        <w:rPr>
          <w:rFonts w:cstheme="minorHAnsi"/>
          <w:sz w:val="24"/>
          <w:szCs w:val="24"/>
        </w:rPr>
        <w:t xml:space="preserve"> explains the application process. </w:t>
      </w:r>
      <w:r w:rsidR="00585C28">
        <w:rPr>
          <w:rFonts w:cstheme="minorHAnsi"/>
          <w:sz w:val="24"/>
          <w:szCs w:val="24"/>
        </w:rPr>
        <w:t>E</w:t>
      </w:r>
      <w:r w:rsidR="00FA0E64" w:rsidRPr="00E748B1">
        <w:rPr>
          <w:rFonts w:cstheme="minorHAnsi"/>
          <w:sz w:val="24"/>
          <w:szCs w:val="24"/>
        </w:rPr>
        <w:t xml:space="preserve">nsure you read the relevant guidelines carefully and complete the application as fully as possible. </w:t>
      </w:r>
      <w:r w:rsidRPr="00E748B1">
        <w:rPr>
          <w:rFonts w:cstheme="minorHAnsi"/>
          <w:sz w:val="24"/>
          <w:szCs w:val="24"/>
        </w:rPr>
        <w:t xml:space="preserve">If you need help, </w:t>
      </w:r>
      <w:r w:rsidR="00D74E4C" w:rsidRPr="00E748B1">
        <w:rPr>
          <w:rFonts w:cstheme="minorHAnsi"/>
          <w:sz w:val="24"/>
          <w:szCs w:val="24"/>
        </w:rPr>
        <w:t xml:space="preserve">contact Te Mātāwai at </w:t>
      </w:r>
      <w:hyperlink r:id="rId8" w:history="1">
        <w:r w:rsidR="00D74E4C" w:rsidRPr="00E748B1">
          <w:rPr>
            <w:rStyle w:val="Hyperlink"/>
            <w:rFonts w:cstheme="minorHAnsi"/>
            <w:sz w:val="24"/>
            <w:szCs w:val="24"/>
          </w:rPr>
          <w:t>info@tematawai.maori.nz</w:t>
        </w:r>
      </w:hyperlink>
      <w:r w:rsidR="00D74E4C" w:rsidRPr="00E748B1">
        <w:rPr>
          <w:rFonts w:cstheme="minorHAnsi"/>
          <w:sz w:val="24"/>
          <w:szCs w:val="24"/>
        </w:rPr>
        <w:t xml:space="preserve">. </w:t>
      </w:r>
    </w:p>
    <w:p w14:paraId="5E8909FC" w14:textId="77777777" w:rsidR="004B34C5" w:rsidRPr="00E748B1" w:rsidRDefault="0013736F" w:rsidP="00FA0E64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  <w:r w:rsidRPr="00E748B1">
        <w:rPr>
          <w:rFonts w:cstheme="minorHAnsi"/>
          <w:b/>
          <w:sz w:val="24"/>
          <w:szCs w:val="24"/>
        </w:rPr>
        <w:t xml:space="preserve">When </w:t>
      </w:r>
      <w:r w:rsidR="00E748B1">
        <w:rPr>
          <w:rFonts w:cstheme="minorHAnsi"/>
          <w:b/>
          <w:sz w:val="24"/>
          <w:szCs w:val="24"/>
        </w:rPr>
        <w:t xml:space="preserve">Te </w:t>
      </w:r>
      <w:r w:rsidR="00E748B1" w:rsidRPr="00E748B1">
        <w:rPr>
          <w:rFonts w:cstheme="minorHAnsi"/>
          <w:b/>
          <w:sz w:val="24"/>
          <w:szCs w:val="24"/>
        </w:rPr>
        <w:t>Mātāuru</w:t>
      </w:r>
      <w:r w:rsidRPr="00E748B1">
        <w:rPr>
          <w:rFonts w:cstheme="minorHAnsi"/>
          <w:b/>
          <w:sz w:val="24"/>
          <w:szCs w:val="24"/>
        </w:rPr>
        <w:t xml:space="preserve"> open</w:t>
      </w:r>
      <w:r w:rsidR="00E748B1">
        <w:rPr>
          <w:rFonts w:cstheme="minorHAnsi"/>
          <w:b/>
          <w:sz w:val="24"/>
          <w:szCs w:val="24"/>
        </w:rPr>
        <w:t>s</w:t>
      </w:r>
      <w:r w:rsidRPr="00E748B1">
        <w:rPr>
          <w:rFonts w:cstheme="minorHAnsi"/>
          <w:b/>
          <w:sz w:val="24"/>
          <w:szCs w:val="24"/>
        </w:rPr>
        <w:t xml:space="preserve"> and close</w:t>
      </w:r>
      <w:r w:rsidR="00E748B1">
        <w:rPr>
          <w:rFonts w:cstheme="minorHAnsi"/>
          <w:b/>
          <w:sz w:val="24"/>
          <w:szCs w:val="24"/>
        </w:rPr>
        <w:t>s</w:t>
      </w:r>
    </w:p>
    <w:p w14:paraId="4A50EB27" w14:textId="77777777" w:rsidR="00ED3A20" w:rsidRPr="00E748B1" w:rsidRDefault="0013736F" w:rsidP="0013736F">
      <w:pPr>
        <w:jc w:val="both"/>
        <w:rPr>
          <w:rFonts w:cstheme="minorHAnsi"/>
          <w:sz w:val="24"/>
          <w:szCs w:val="24"/>
        </w:rPr>
      </w:pPr>
      <w:r w:rsidRPr="00E748B1">
        <w:rPr>
          <w:rFonts w:cstheme="minorHAnsi"/>
          <w:sz w:val="24"/>
          <w:szCs w:val="24"/>
        </w:rPr>
        <w:t xml:space="preserve">Te Mātāuru has eight investment rounds that occur </w:t>
      </w:r>
      <w:r w:rsidR="008022A3" w:rsidRPr="00E748B1">
        <w:rPr>
          <w:rFonts w:cstheme="minorHAnsi"/>
          <w:sz w:val="24"/>
          <w:szCs w:val="24"/>
        </w:rPr>
        <w:t xml:space="preserve">annually as </w:t>
      </w:r>
      <w:r w:rsidR="00340429" w:rsidRPr="00E748B1">
        <w:rPr>
          <w:rFonts w:cstheme="minorHAnsi"/>
          <w:sz w:val="24"/>
          <w:szCs w:val="24"/>
        </w:rPr>
        <w:t xml:space="preserve">each </w:t>
      </w:r>
      <w:r w:rsidR="008022A3" w:rsidRPr="00E748B1">
        <w:rPr>
          <w:rFonts w:cstheme="minorHAnsi"/>
          <w:sz w:val="24"/>
          <w:szCs w:val="24"/>
        </w:rPr>
        <w:t xml:space="preserve">Te Pae Motuhake is established. This means there will be </w:t>
      </w:r>
      <w:r w:rsidR="003D6604" w:rsidRPr="00E748B1">
        <w:rPr>
          <w:rFonts w:cstheme="minorHAnsi"/>
          <w:sz w:val="24"/>
          <w:szCs w:val="24"/>
        </w:rPr>
        <w:t>one</w:t>
      </w:r>
      <w:r w:rsidR="008022A3" w:rsidRPr="00E748B1">
        <w:rPr>
          <w:rFonts w:cstheme="minorHAnsi"/>
          <w:sz w:val="24"/>
          <w:szCs w:val="24"/>
        </w:rPr>
        <w:t xml:space="preserve"> funding round </w:t>
      </w:r>
      <w:r w:rsidR="00585C28">
        <w:rPr>
          <w:rFonts w:cstheme="minorHAnsi"/>
          <w:sz w:val="24"/>
          <w:szCs w:val="24"/>
        </w:rPr>
        <w:t>for each</w:t>
      </w:r>
      <w:r w:rsidR="008022A3" w:rsidRPr="00E748B1">
        <w:rPr>
          <w:rFonts w:cstheme="minorHAnsi"/>
          <w:sz w:val="24"/>
          <w:szCs w:val="24"/>
        </w:rPr>
        <w:t xml:space="preserve"> </w:t>
      </w:r>
      <w:r w:rsidR="004B237D" w:rsidRPr="00E748B1">
        <w:rPr>
          <w:rFonts w:cstheme="minorHAnsi"/>
          <w:sz w:val="24"/>
          <w:szCs w:val="24"/>
        </w:rPr>
        <w:t>Te Pae Motuhake.</w:t>
      </w:r>
    </w:p>
    <w:p w14:paraId="1D5A1282" w14:textId="77777777" w:rsidR="008022A3" w:rsidRDefault="008022A3" w:rsidP="0013736F">
      <w:pPr>
        <w:jc w:val="both"/>
        <w:rPr>
          <w:rFonts w:cstheme="minorHAnsi"/>
          <w:sz w:val="24"/>
          <w:szCs w:val="24"/>
        </w:rPr>
        <w:sectPr w:rsidR="008022A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384C8D0" w14:textId="77777777" w:rsidR="001E0BF8" w:rsidRDefault="00AB4D1C" w:rsidP="0013736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val="en-AU" w:eastAsia="en-AU"/>
        </w:rPr>
        <w:drawing>
          <wp:inline distT="0" distB="0" distL="0" distR="0" wp14:anchorId="2C6B68BA" wp14:editId="2F9D8083">
            <wp:extent cx="8734472" cy="3768860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6768" cy="3782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18A742" w14:textId="77777777" w:rsidR="001E0BF8" w:rsidRPr="001E0BF8" w:rsidRDefault="001E0BF8" w:rsidP="001E0BF8">
      <w:pPr>
        <w:rPr>
          <w:rFonts w:cstheme="minorHAnsi"/>
          <w:sz w:val="24"/>
          <w:szCs w:val="24"/>
        </w:rPr>
      </w:pPr>
    </w:p>
    <w:p w14:paraId="24D564B2" w14:textId="77777777" w:rsidR="001E0BF8" w:rsidRPr="001E0BF8" w:rsidRDefault="001E0BF8" w:rsidP="001E0BF8">
      <w:pPr>
        <w:rPr>
          <w:rFonts w:cstheme="minorHAnsi"/>
          <w:sz w:val="24"/>
          <w:szCs w:val="24"/>
        </w:rPr>
      </w:pPr>
    </w:p>
    <w:p w14:paraId="2984D2B6" w14:textId="77777777" w:rsidR="001E0BF8" w:rsidRDefault="001E0BF8" w:rsidP="001E0BF8">
      <w:pPr>
        <w:rPr>
          <w:rFonts w:cstheme="minorHAnsi"/>
          <w:sz w:val="24"/>
          <w:szCs w:val="24"/>
        </w:rPr>
      </w:pPr>
    </w:p>
    <w:p w14:paraId="679465FC" w14:textId="77777777" w:rsidR="001E0BF8" w:rsidRDefault="001E0BF8" w:rsidP="001E0BF8">
      <w:pPr>
        <w:tabs>
          <w:tab w:val="left" w:pos="53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43195488" w14:textId="77777777" w:rsidR="001E0BF8" w:rsidRDefault="001E0BF8" w:rsidP="001E0BF8">
      <w:pPr>
        <w:rPr>
          <w:rFonts w:cstheme="minorHAnsi"/>
          <w:sz w:val="24"/>
          <w:szCs w:val="24"/>
        </w:rPr>
      </w:pPr>
    </w:p>
    <w:p w14:paraId="3DCCB308" w14:textId="77777777" w:rsidR="00ED3A20" w:rsidRPr="001E0BF8" w:rsidRDefault="00ED3A20" w:rsidP="001E0BF8">
      <w:pPr>
        <w:rPr>
          <w:rFonts w:cstheme="minorHAnsi"/>
          <w:sz w:val="24"/>
          <w:szCs w:val="24"/>
        </w:rPr>
        <w:sectPr w:rsidR="00ED3A20" w:rsidRPr="001E0BF8" w:rsidSect="00AB4D1C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70FD1AA3" w14:textId="77777777" w:rsidR="00ED3A20" w:rsidRPr="006559D5" w:rsidRDefault="006559D5" w:rsidP="006559D5">
      <w:pPr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Diagram Two</w:t>
      </w:r>
    </w:p>
    <w:p w14:paraId="38F3CC29" w14:textId="77777777" w:rsidR="009C0BD6" w:rsidRPr="009C0BD6" w:rsidRDefault="009C0BD6" w:rsidP="00FA0E64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7BEC1EED" w14:textId="77777777" w:rsidR="00C715DD" w:rsidRPr="00340429" w:rsidRDefault="00DF59BF" w:rsidP="00C715DD">
      <w:pPr>
        <w:spacing w:after="120" w:line="240" w:lineRule="auto"/>
        <w:jc w:val="both"/>
        <w:rPr>
          <w:rFonts w:cstheme="minorHAnsi"/>
          <w:sz w:val="24"/>
          <w:szCs w:val="24"/>
          <w:shd w:val="clear" w:color="auto" w:fill="FFFF00"/>
        </w:rPr>
      </w:pPr>
      <w:r w:rsidRPr="00DF59BF">
        <w:rPr>
          <w:rFonts w:cstheme="minorHAnsi"/>
          <w:noProof/>
          <w:sz w:val="24"/>
          <w:szCs w:val="24"/>
          <w:shd w:val="clear" w:color="auto" w:fill="FFFF00"/>
          <w:lang w:val="en-AU" w:eastAsia="en-AU"/>
        </w:rPr>
        <w:drawing>
          <wp:inline distT="0" distB="0" distL="0" distR="0" wp14:anchorId="4857EC5E" wp14:editId="7013B6A0">
            <wp:extent cx="5731510" cy="8101439"/>
            <wp:effectExtent l="0" t="0" r="2540" b="0"/>
            <wp:docPr id="1" name="Picture 1" descr="C:\Users\Whiti\Te Matawai\Draft documents\Te Matauru_How to apply for fund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hiti\Te Matawai\Draft documents\Te Matauru_How to apply for funding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1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15DD" w:rsidRPr="003404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44D606" w14:textId="77777777" w:rsidR="00FF782A" w:rsidRDefault="00FF782A" w:rsidP="002F422D">
      <w:pPr>
        <w:spacing w:after="0" w:line="240" w:lineRule="auto"/>
      </w:pPr>
      <w:r>
        <w:separator/>
      </w:r>
    </w:p>
  </w:endnote>
  <w:endnote w:type="continuationSeparator" w:id="0">
    <w:p w14:paraId="1F17DD2E" w14:textId="77777777" w:rsidR="00FF782A" w:rsidRDefault="00FF782A" w:rsidP="002F4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charset w:val="00"/>
    <w:family w:val="auto"/>
    <w:pitch w:val="variable"/>
    <w:sig w:usb0="00002A87" w:usb1="80000000" w:usb2="00000008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C32B0" w14:textId="77777777" w:rsidR="002F422D" w:rsidRDefault="002F422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78889" w14:textId="77777777" w:rsidR="002F422D" w:rsidRDefault="002F422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55E1D" w14:textId="77777777" w:rsidR="002F422D" w:rsidRDefault="002F422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9B93BF" w14:textId="77777777" w:rsidR="00FF782A" w:rsidRDefault="00FF782A" w:rsidP="002F422D">
      <w:pPr>
        <w:spacing w:after="0" w:line="240" w:lineRule="auto"/>
      </w:pPr>
      <w:r>
        <w:separator/>
      </w:r>
    </w:p>
  </w:footnote>
  <w:footnote w:type="continuationSeparator" w:id="0">
    <w:p w14:paraId="5187F13A" w14:textId="77777777" w:rsidR="00FF782A" w:rsidRDefault="00FF782A" w:rsidP="002F4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D8570" w14:textId="77777777" w:rsidR="002F422D" w:rsidRDefault="002F422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A5291" w14:textId="77777777" w:rsidR="002F422D" w:rsidRDefault="002F422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5D19D" w14:textId="77777777" w:rsidR="002F422D" w:rsidRDefault="002F422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63A0B"/>
    <w:multiLevelType w:val="multilevel"/>
    <w:tmpl w:val="5AB07520"/>
    <w:styleLink w:val="BulletTextList"/>
    <w:lvl w:ilvl="0">
      <w:start w:val="1"/>
      <w:numFmt w:val="bullet"/>
      <w:pStyle w:val="BulletText1"/>
      <w:lvlText w:val="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sz w:val="24"/>
      </w:rPr>
    </w:lvl>
    <w:lvl w:ilvl="1">
      <w:start w:val="1"/>
      <w:numFmt w:val="bullet"/>
      <w:pStyle w:val="BulletText2"/>
      <w:lvlText w:val="-"/>
      <w:lvlJc w:val="left"/>
      <w:pPr>
        <w:tabs>
          <w:tab w:val="num" w:pos="346"/>
        </w:tabs>
        <w:ind w:left="346" w:hanging="173"/>
      </w:pPr>
      <w:rPr>
        <w:rFonts w:ascii="Symbol" w:hAnsi="Symbol" w:hint="default"/>
        <w:sz w:val="24"/>
      </w:rPr>
    </w:lvl>
    <w:lvl w:ilvl="2">
      <w:start w:val="1"/>
      <w:numFmt w:val="bullet"/>
      <w:pStyle w:val="BulletText3"/>
      <w:lvlText w:val="§"/>
      <w:lvlJc w:val="left"/>
      <w:pPr>
        <w:tabs>
          <w:tab w:val="num" w:pos="519"/>
        </w:tabs>
        <w:ind w:left="519" w:hanging="173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5AB07CA"/>
    <w:multiLevelType w:val="hybridMultilevel"/>
    <w:tmpl w:val="1B18B02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057B9"/>
    <w:multiLevelType w:val="hybridMultilevel"/>
    <w:tmpl w:val="56C89BE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843772"/>
    <w:multiLevelType w:val="hybridMultilevel"/>
    <w:tmpl w:val="EC2C17B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B98"/>
    <w:rsid w:val="00063A46"/>
    <w:rsid w:val="00074835"/>
    <w:rsid w:val="000C48A4"/>
    <w:rsid w:val="00124C5C"/>
    <w:rsid w:val="0013736F"/>
    <w:rsid w:val="0014476E"/>
    <w:rsid w:val="0017541F"/>
    <w:rsid w:val="001A0AB4"/>
    <w:rsid w:val="001E0BF8"/>
    <w:rsid w:val="00234149"/>
    <w:rsid w:val="002C1DD5"/>
    <w:rsid w:val="002F422D"/>
    <w:rsid w:val="00300882"/>
    <w:rsid w:val="00340429"/>
    <w:rsid w:val="00371F27"/>
    <w:rsid w:val="00373128"/>
    <w:rsid w:val="003D6604"/>
    <w:rsid w:val="003E3298"/>
    <w:rsid w:val="003E5877"/>
    <w:rsid w:val="00456DC0"/>
    <w:rsid w:val="0047670D"/>
    <w:rsid w:val="00496135"/>
    <w:rsid w:val="004B237D"/>
    <w:rsid w:val="004B34C5"/>
    <w:rsid w:val="004C3632"/>
    <w:rsid w:val="00546AE5"/>
    <w:rsid w:val="00585C28"/>
    <w:rsid w:val="005A574D"/>
    <w:rsid w:val="005C21BC"/>
    <w:rsid w:val="005D3E81"/>
    <w:rsid w:val="005E5C8E"/>
    <w:rsid w:val="00642FE3"/>
    <w:rsid w:val="006559D5"/>
    <w:rsid w:val="006F24C2"/>
    <w:rsid w:val="006F3FAA"/>
    <w:rsid w:val="007238A4"/>
    <w:rsid w:val="007C1B98"/>
    <w:rsid w:val="007C542B"/>
    <w:rsid w:val="008022A3"/>
    <w:rsid w:val="008073D4"/>
    <w:rsid w:val="00836F83"/>
    <w:rsid w:val="008C201A"/>
    <w:rsid w:val="00973976"/>
    <w:rsid w:val="009945C7"/>
    <w:rsid w:val="009C0BD6"/>
    <w:rsid w:val="00A34A2E"/>
    <w:rsid w:val="00AB4D1C"/>
    <w:rsid w:val="00AC550A"/>
    <w:rsid w:val="00B12F16"/>
    <w:rsid w:val="00B41F7B"/>
    <w:rsid w:val="00B4334D"/>
    <w:rsid w:val="00B77E94"/>
    <w:rsid w:val="00BD6866"/>
    <w:rsid w:val="00C166E3"/>
    <w:rsid w:val="00C519D6"/>
    <w:rsid w:val="00C715DD"/>
    <w:rsid w:val="00D113B6"/>
    <w:rsid w:val="00D74E4C"/>
    <w:rsid w:val="00DB3552"/>
    <w:rsid w:val="00DB519B"/>
    <w:rsid w:val="00DC401A"/>
    <w:rsid w:val="00DF59BF"/>
    <w:rsid w:val="00E133E2"/>
    <w:rsid w:val="00E748B1"/>
    <w:rsid w:val="00EA0BE1"/>
    <w:rsid w:val="00EB5A04"/>
    <w:rsid w:val="00ED1EED"/>
    <w:rsid w:val="00ED3A20"/>
    <w:rsid w:val="00F70F06"/>
    <w:rsid w:val="00F86C0A"/>
    <w:rsid w:val="00FA0E64"/>
    <w:rsid w:val="00FC7EC8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3A0A6"/>
  <w15:chartTrackingRefBased/>
  <w15:docId w15:val="{0D016A20-1111-4CE9-85B2-4AF82A7B4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3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715D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15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42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22D"/>
  </w:style>
  <w:style w:type="paragraph" w:styleId="Footer">
    <w:name w:val="footer"/>
    <w:basedOn w:val="Normal"/>
    <w:link w:val="FooterChar"/>
    <w:uiPriority w:val="99"/>
    <w:unhideWhenUsed/>
    <w:rsid w:val="002F42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22D"/>
  </w:style>
  <w:style w:type="paragraph" w:customStyle="1" w:styleId="paragraph">
    <w:name w:val="paragraph"/>
    <w:basedOn w:val="Normal"/>
    <w:rsid w:val="00B12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8B1"/>
    <w:rPr>
      <w:rFonts w:ascii="Segoe UI" w:hAnsi="Segoe UI" w:cs="Segoe UI"/>
      <w:sz w:val="18"/>
      <w:szCs w:val="18"/>
    </w:rPr>
  </w:style>
  <w:style w:type="paragraph" w:customStyle="1" w:styleId="BulletText1">
    <w:name w:val="Bullet Text 1"/>
    <w:basedOn w:val="Normal"/>
    <w:link w:val="BulletText1Char"/>
    <w:rsid w:val="00300882"/>
    <w:pPr>
      <w:numPr>
        <w:numId w:val="4"/>
      </w:numPr>
      <w:spacing w:after="0" w:line="240" w:lineRule="auto"/>
    </w:pPr>
    <w:rPr>
      <w:rFonts w:ascii="Calibri"/>
      <w:color w:val="000000"/>
      <w:sz w:val="24"/>
      <w:lang w:val="en-GB"/>
    </w:rPr>
  </w:style>
  <w:style w:type="character" w:customStyle="1" w:styleId="BulletText1Char">
    <w:name w:val="Bullet Text 1 Char"/>
    <w:basedOn w:val="DefaultParagraphFont"/>
    <w:link w:val="BulletText1"/>
    <w:rsid w:val="00300882"/>
    <w:rPr>
      <w:rFonts w:ascii="Calibri"/>
      <w:color w:val="000000"/>
      <w:sz w:val="24"/>
      <w:lang w:val="en-GB"/>
    </w:rPr>
  </w:style>
  <w:style w:type="paragraph" w:customStyle="1" w:styleId="BulletText2">
    <w:name w:val="Bullet Text 2"/>
    <w:basedOn w:val="Normal"/>
    <w:rsid w:val="00300882"/>
    <w:pPr>
      <w:numPr>
        <w:ilvl w:val="1"/>
        <w:numId w:val="4"/>
      </w:numPr>
      <w:spacing w:after="0" w:line="240" w:lineRule="auto"/>
    </w:pPr>
    <w:rPr>
      <w:rFonts w:ascii="Calibri"/>
      <w:color w:val="000000"/>
      <w:sz w:val="24"/>
      <w:lang w:val="en-GB"/>
    </w:rPr>
  </w:style>
  <w:style w:type="paragraph" w:customStyle="1" w:styleId="BulletText3">
    <w:name w:val="Bullet Text 3"/>
    <w:basedOn w:val="Normal"/>
    <w:rsid w:val="00300882"/>
    <w:pPr>
      <w:numPr>
        <w:ilvl w:val="2"/>
        <w:numId w:val="4"/>
      </w:numPr>
      <w:spacing w:after="0" w:line="240" w:lineRule="auto"/>
    </w:pPr>
    <w:rPr>
      <w:rFonts w:ascii="Calibri"/>
      <w:color w:val="000000"/>
      <w:sz w:val="24"/>
      <w:lang w:val="en-GB"/>
    </w:rPr>
  </w:style>
  <w:style w:type="numbering" w:customStyle="1" w:styleId="BulletTextList">
    <w:name w:val="Bullet Text List"/>
    <w:basedOn w:val="NoList"/>
    <w:rsid w:val="0030088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7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1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86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99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01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239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312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806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62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55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0" w:color="ABABAB"/>
                                                        <w:left w:val="single" w:sz="6" w:space="0" w:color="ABABAB"/>
                                                        <w:bottom w:val="single" w:sz="12" w:space="0" w:color="ABABAB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918364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699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424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781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11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3205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5187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1131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image" Target="media/image2.png"/><Relationship Id="rId16" Type="http://schemas.openxmlformats.org/officeDocument/2006/relationships/image" Target="media/image3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info@tematawai.maori.nz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502</Words>
  <Characters>2866</Characters>
  <Application>Microsoft Macintosh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About the Te Mātāuru Investment Fund</vt:lpstr>
    </vt:vector>
  </TitlesOfParts>
  <Company/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Whiti Turner</dc:creator>
  <cp:keywords/>
  <dc:description/>
  <cp:lastModifiedBy>Microsoft Office User</cp:lastModifiedBy>
  <cp:revision>2</cp:revision>
  <cp:lastPrinted>2017-11-23T00:18:00Z</cp:lastPrinted>
  <dcterms:created xsi:type="dcterms:W3CDTF">2017-11-30T00:32:00Z</dcterms:created>
  <dcterms:modified xsi:type="dcterms:W3CDTF">2017-11-30T00:32:00Z</dcterms:modified>
</cp:coreProperties>
</file>