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4FB4" w14:textId="21162C37" w:rsidR="00C917BF" w:rsidRPr="00C917BF" w:rsidRDefault="00C917BF" w:rsidP="006B7290">
      <w:pPr>
        <w:jc w:val="center"/>
        <w:rPr>
          <w:b/>
          <w:sz w:val="32"/>
          <w:szCs w:val="32"/>
        </w:rPr>
      </w:pPr>
      <w:bookmarkStart w:id="0" w:name="_GoBack"/>
      <w:bookmarkEnd w:id="0"/>
      <w:r>
        <w:rPr>
          <w:b/>
          <w:sz w:val="32"/>
          <w:szCs w:val="32"/>
        </w:rPr>
        <w:t xml:space="preserve">2018 </w:t>
      </w:r>
      <w:r w:rsidRPr="00C917BF">
        <w:rPr>
          <w:b/>
          <w:sz w:val="32"/>
          <w:szCs w:val="32"/>
        </w:rPr>
        <w:t>MUNICIPAL SOLID WASTE COLLECTION AND DISPOSAL SERVICES</w:t>
      </w:r>
    </w:p>
    <w:p w14:paraId="1AACA529" w14:textId="0AF6BFB7" w:rsidR="00C563D7" w:rsidRPr="00C917BF" w:rsidRDefault="00D52A5E" w:rsidP="006B7290">
      <w:pPr>
        <w:jc w:val="center"/>
        <w:rPr>
          <w:b/>
          <w:sz w:val="24"/>
          <w:szCs w:val="24"/>
          <w:u w:val="single"/>
        </w:rPr>
      </w:pPr>
      <w:r w:rsidRPr="00C917BF">
        <w:rPr>
          <w:b/>
          <w:sz w:val="24"/>
          <w:szCs w:val="24"/>
          <w:u w:val="single"/>
        </w:rPr>
        <w:t>AMENDMENT</w:t>
      </w:r>
      <w:r w:rsidR="00A65669" w:rsidRPr="00C917BF">
        <w:rPr>
          <w:b/>
          <w:sz w:val="24"/>
          <w:szCs w:val="24"/>
          <w:u w:val="single"/>
        </w:rPr>
        <w:t xml:space="preserve"> (June 21, 2018)</w:t>
      </w:r>
      <w:r w:rsidRPr="00C917BF">
        <w:rPr>
          <w:b/>
          <w:sz w:val="24"/>
          <w:szCs w:val="24"/>
          <w:u w:val="single"/>
        </w:rPr>
        <w:t xml:space="preserve"> TO REQUEST FOR PROPOSALS FOR MUNICIPAL SOLID WASTE COLLECTION AND DISPOSAL SERVICES GAUTIER, </w:t>
      </w:r>
      <w:r w:rsidR="00C917BF" w:rsidRPr="00C917BF">
        <w:rPr>
          <w:b/>
          <w:sz w:val="24"/>
          <w:szCs w:val="24"/>
          <w:u w:val="single"/>
        </w:rPr>
        <w:t>MISSISSIPPI 2018</w:t>
      </w:r>
      <w:r w:rsidRPr="00C917BF">
        <w:rPr>
          <w:b/>
          <w:sz w:val="24"/>
          <w:szCs w:val="24"/>
          <w:u w:val="single"/>
        </w:rPr>
        <w:t xml:space="preserve"> (ISSUED June 5, 2018)</w:t>
      </w:r>
    </w:p>
    <w:p w14:paraId="0254B7A7" w14:textId="0716245D" w:rsidR="00D52A5E" w:rsidRDefault="00D52A5E">
      <w:pPr>
        <w:rPr>
          <w:b/>
          <w:u w:val="single"/>
        </w:rPr>
      </w:pPr>
    </w:p>
    <w:p w14:paraId="777DBB15" w14:textId="4AC9E08A" w:rsidR="00D52A5E" w:rsidRPr="004A1A44" w:rsidRDefault="00D52A5E">
      <w:pPr>
        <w:rPr>
          <w:color w:val="000000" w:themeColor="text1"/>
          <w:sz w:val="24"/>
          <w:szCs w:val="24"/>
        </w:rPr>
      </w:pPr>
      <w:r w:rsidRPr="004A1A44">
        <w:rPr>
          <w:color w:val="000000" w:themeColor="text1"/>
          <w:sz w:val="24"/>
          <w:szCs w:val="24"/>
        </w:rPr>
        <w:t>This is an Amendment to the RFP issued on June 5, 2018.  The amendments and changes below shall become part of the RFP as if fully incorporated therein.</w:t>
      </w:r>
    </w:p>
    <w:p w14:paraId="5CF586AF" w14:textId="77777777" w:rsidR="0013632E" w:rsidRPr="0013632E" w:rsidRDefault="0013632E" w:rsidP="0013632E">
      <w:pPr>
        <w:pStyle w:val="NoSpacing"/>
        <w:rPr>
          <w:b/>
          <w:color w:val="000000" w:themeColor="text1"/>
          <w:sz w:val="24"/>
          <w:szCs w:val="24"/>
          <w:u w:val="single"/>
        </w:rPr>
      </w:pPr>
      <w:r w:rsidRPr="0013632E">
        <w:rPr>
          <w:b/>
          <w:color w:val="000000" w:themeColor="text1"/>
          <w:sz w:val="24"/>
          <w:szCs w:val="24"/>
          <w:u w:val="single"/>
        </w:rPr>
        <w:t>Page 2 – Table of Contents</w:t>
      </w:r>
    </w:p>
    <w:p w14:paraId="523CBF51" w14:textId="77777777" w:rsidR="0013632E" w:rsidRDefault="0013632E" w:rsidP="0013632E">
      <w:pPr>
        <w:pStyle w:val="NoSpacing"/>
        <w:numPr>
          <w:ilvl w:val="0"/>
          <w:numId w:val="2"/>
        </w:numPr>
        <w:rPr>
          <w:color w:val="000000" w:themeColor="text1"/>
          <w:sz w:val="24"/>
          <w:szCs w:val="24"/>
        </w:rPr>
      </w:pPr>
      <w:r>
        <w:rPr>
          <w:color w:val="000000" w:themeColor="text1"/>
          <w:sz w:val="24"/>
          <w:szCs w:val="24"/>
        </w:rPr>
        <w:t xml:space="preserve">Section II – </w:t>
      </w:r>
      <w:r>
        <w:rPr>
          <w:color w:val="000000" w:themeColor="text1"/>
          <w:sz w:val="24"/>
          <w:szCs w:val="24"/>
        </w:rPr>
        <w:tab/>
        <w:t>Scope of Services</w:t>
      </w:r>
    </w:p>
    <w:p w14:paraId="7F846BCD" w14:textId="77777777" w:rsidR="0013632E" w:rsidRDefault="0013632E" w:rsidP="0013632E">
      <w:pPr>
        <w:pStyle w:val="NoSpacing"/>
        <w:ind w:left="1500" w:firstLine="660"/>
        <w:rPr>
          <w:color w:val="000000" w:themeColor="text1"/>
          <w:sz w:val="24"/>
          <w:szCs w:val="24"/>
        </w:rPr>
      </w:pPr>
      <w:r>
        <w:rPr>
          <w:color w:val="000000" w:themeColor="text1"/>
          <w:sz w:val="24"/>
          <w:szCs w:val="24"/>
        </w:rPr>
        <w:t xml:space="preserve">N. Emergency Plan - </w:t>
      </w:r>
      <w:r w:rsidRPr="0013632E">
        <w:rPr>
          <w:color w:val="FF0000"/>
          <w:sz w:val="24"/>
          <w:szCs w:val="24"/>
        </w:rPr>
        <w:t>change to page 13</w:t>
      </w:r>
    </w:p>
    <w:p w14:paraId="16288E76" w14:textId="77777777" w:rsidR="0013632E" w:rsidRDefault="0013632E" w:rsidP="0013632E">
      <w:pPr>
        <w:pStyle w:val="NoSpacing"/>
        <w:ind w:left="1440"/>
        <w:rPr>
          <w:color w:val="000000" w:themeColor="text1"/>
          <w:sz w:val="24"/>
          <w:szCs w:val="24"/>
        </w:rPr>
      </w:pPr>
      <w:r>
        <w:rPr>
          <w:color w:val="000000" w:themeColor="text1"/>
          <w:sz w:val="24"/>
          <w:szCs w:val="24"/>
        </w:rPr>
        <w:t xml:space="preserve">         </w:t>
      </w:r>
      <w:r>
        <w:rPr>
          <w:color w:val="000000" w:themeColor="text1"/>
          <w:sz w:val="24"/>
          <w:szCs w:val="24"/>
        </w:rPr>
        <w:tab/>
        <w:t xml:space="preserve">T. Monthly Report - </w:t>
      </w:r>
      <w:r w:rsidRPr="0013632E">
        <w:rPr>
          <w:color w:val="FF0000"/>
          <w:sz w:val="24"/>
          <w:szCs w:val="24"/>
        </w:rPr>
        <w:t>change to page 14</w:t>
      </w:r>
    </w:p>
    <w:p w14:paraId="2CEE096E" w14:textId="77777777" w:rsidR="0013632E" w:rsidRDefault="0013632E" w:rsidP="0013632E">
      <w:pPr>
        <w:pStyle w:val="NoSpacing"/>
        <w:numPr>
          <w:ilvl w:val="0"/>
          <w:numId w:val="2"/>
        </w:numPr>
        <w:rPr>
          <w:color w:val="000000" w:themeColor="text1"/>
          <w:sz w:val="24"/>
          <w:szCs w:val="24"/>
        </w:rPr>
      </w:pPr>
      <w:r>
        <w:rPr>
          <w:color w:val="000000" w:themeColor="text1"/>
          <w:sz w:val="24"/>
          <w:szCs w:val="24"/>
        </w:rPr>
        <w:t xml:space="preserve">Section III - </w:t>
      </w:r>
      <w:r>
        <w:rPr>
          <w:color w:val="000000" w:themeColor="text1"/>
          <w:sz w:val="24"/>
          <w:szCs w:val="24"/>
        </w:rPr>
        <w:tab/>
        <w:t xml:space="preserve">Certifications – </w:t>
      </w:r>
      <w:r w:rsidRPr="0013632E">
        <w:rPr>
          <w:color w:val="FF0000"/>
          <w:sz w:val="24"/>
          <w:szCs w:val="24"/>
        </w:rPr>
        <w:t>change to page 16</w:t>
      </w:r>
    </w:p>
    <w:p w14:paraId="42EC7C28" w14:textId="77777777" w:rsidR="0013632E" w:rsidRDefault="0013632E" w:rsidP="0013632E">
      <w:pPr>
        <w:pStyle w:val="NoSpacing"/>
        <w:numPr>
          <w:ilvl w:val="0"/>
          <w:numId w:val="2"/>
        </w:numPr>
        <w:rPr>
          <w:color w:val="000000" w:themeColor="text1"/>
          <w:sz w:val="24"/>
          <w:szCs w:val="24"/>
        </w:rPr>
      </w:pPr>
      <w:r>
        <w:rPr>
          <w:color w:val="000000" w:themeColor="text1"/>
          <w:sz w:val="24"/>
          <w:szCs w:val="24"/>
        </w:rPr>
        <w:t xml:space="preserve">Section IV - </w:t>
      </w:r>
      <w:r>
        <w:rPr>
          <w:color w:val="000000" w:themeColor="text1"/>
          <w:sz w:val="24"/>
          <w:szCs w:val="24"/>
        </w:rPr>
        <w:tab/>
        <w:t xml:space="preserve">Interruption of Service – </w:t>
      </w:r>
      <w:r w:rsidRPr="0013632E">
        <w:rPr>
          <w:color w:val="FF0000"/>
          <w:sz w:val="24"/>
          <w:szCs w:val="24"/>
        </w:rPr>
        <w:t>change to page 16</w:t>
      </w:r>
    </w:p>
    <w:p w14:paraId="0563D10B" w14:textId="77777777" w:rsidR="0013632E" w:rsidRDefault="0013632E" w:rsidP="0013632E">
      <w:pPr>
        <w:pStyle w:val="NoSpacing"/>
        <w:numPr>
          <w:ilvl w:val="0"/>
          <w:numId w:val="2"/>
        </w:numPr>
        <w:rPr>
          <w:color w:val="000000" w:themeColor="text1"/>
          <w:sz w:val="24"/>
          <w:szCs w:val="24"/>
        </w:rPr>
      </w:pPr>
      <w:r>
        <w:rPr>
          <w:color w:val="000000" w:themeColor="text1"/>
          <w:sz w:val="24"/>
          <w:szCs w:val="24"/>
        </w:rPr>
        <w:t>Section X  -</w:t>
      </w:r>
      <w:r>
        <w:rPr>
          <w:color w:val="000000" w:themeColor="text1"/>
          <w:sz w:val="24"/>
          <w:szCs w:val="24"/>
        </w:rPr>
        <w:tab/>
        <w:t xml:space="preserve">Contract Documents and Amendments to RFP – </w:t>
      </w:r>
      <w:r w:rsidRPr="0013632E">
        <w:rPr>
          <w:color w:val="FF0000"/>
          <w:sz w:val="24"/>
          <w:szCs w:val="24"/>
        </w:rPr>
        <w:t>change to page 20</w:t>
      </w:r>
    </w:p>
    <w:p w14:paraId="6157438C" w14:textId="77777777" w:rsidR="0013632E" w:rsidRDefault="0013632E" w:rsidP="0013632E">
      <w:pPr>
        <w:pStyle w:val="NoSpacing"/>
        <w:numPr>
          <w:ilvl w:val="0"/>
          <w:numId w:val="2"/>
        </w:numPr>
        <w:rPr>
          <w:color w:val="000000" w:themeColor="text1"/>
          <w:sz w:val="24"/>
          <w:szCs w:val="24"/>
        </w:rPr>
      </w:pPr>
      <w:r>
        <w:rPr>
          <w:color w:val="000000" w:themeColor="text1"/>
          <w:sz w:val="24"/>
          <w:szCs w:val="24"/>
        </w:rPr>
        <w:t xml:space="preserve">Section XV - </w:t>
      </w:r>
      <w:r>
        <w:rPr>
          <w:color w:val="000000" w:themeColor="text1"/>
          <w:sz w:val="24"/>
          <w:szCs w:val="24"/>
        </w:rPr>
        <w:tab/>
        <w:t xml:space="preserve">Assignment and Use of </w:t>
      </w:r>
      <w:proofErr w:type="spellStart"/>
      <w:r>
        <w:rPr>
          <w:color w:val="000000" w:themeColor="text1"/>
          <w:sz w:val="24"/>
          <w:szCs w:val="24"/>
        </w:rPr>
        <w:t>SubCONTRACTORs</w:t>
      </w:r>
      <w:proofErr w:type="spellEnd"/>
      <w:r>
        <w:rPr>
          <w:color w:val="000000" w:themeColor="text1"/>
          <w:sz w:val="24"/>
          <w:szCs w:val="24"/>
        </w:rPr>
        <w:t xml:space="preserve"> – </w:t>
      </w:r>
      <w:r w:rsidRPr="0013632E">
        <w:rPr>
          <w:color w:val="FF0000"/>
          <w:sz w:val="24"/>
          <w:szCs w:val="24"/>
        </w:rPr>
        <w:t>change to page 24</w:t>
      </w:r>
    </w:p>
    <w:p w14:paraId="6BC746AC" w14:textId="77777777" w:rsidR="0013632E" w:rsidRPr="0013632E" w:rsidRDefault="0013632E" w:rsidP="0013632E">
      <w:pPr>
        <w:pStyle w:val="NoSpacing"/>
        <w:numPr>
          <w:ilvl w:val="0"/>
          <w:numId w:val="2"/>
        </w:numPr>
        <w:rPr>
          <w:color w:val="FF0000"/>
          <w:sz w:val="24"/>
          <w:szCs w:val="24"/>
        </w:rPr>
      </w:pPr>
      <w:r>
        <w:rPr>
          <w:color w:val="000000" w:themeColor="text1"/>
          <w:sz w:val="24"/>
          <w:szCs w:val="24"/>
        </w:rPr>
        <w:t xml:space="preserve">Section XVII - </w:t>
      </w:r>
      <w:r>
        <w:rPr>
          <w:color w:val="000000" w:themeColor="text1"/>
          <w:sz w:val="24"/>
          <w:szCs w:val="24"/>
        </w:rPr>
        <w:tab/>
        <w:t xml:space="preserve">Records Retention – </w:t>
      </w:r>
      <w:r w:rsidRPr="0013632E">
        <w:rPr>
          <w:color w:val="FF0000"/>
          <w:sz w:val="24"/>
          <w:szCs w:val="24"/>
        </w:rPr>
        <w:t>change to page 25</w:t>
      </w:r>
    </w:p>
    <w:p w14:paraId="56EF1524" w14:textId="77777777" w:rsidR="0013632E" w:rsidRDefault="0013632E" w:rsidP="0013632E">
      <w:pPr>
        <w:pStyle w:val="NoSpacing"/>
        <w:numPr>
          <w:ilvl w:val="0"/>
          <w:numId w:val="2"/>
        </w:numPr>
        <w:rPr>
          <w:color w:val="000000" w:themeColor="text1"/>
          <w:sz w:val="24"/>
          <w:szCs w:val="24"/>
        </w:rPr>
      </w:pPr>
      <w:r>
        <w:rPr>
          <w:color w:val="000000" w:themeColor="text1"/>
          <w:sz w:val="24"/>
          <w:szCs w:val="24"/>
        </w:rPr>
        <w:t>Section XVIII –</w:t>
      </w:r>
      <w:r w:rsidRPr="0013632E">
        <w:rPr>
          <w:color w:val="FF0000"/>
          <w:sz w:val="24"/>
          <w:szCs w:val="24"/>
        </w:rPr>
        <w:t xml:space="preserve"> change from Glossary of Terms and Definitions page 26 to Indemnity</w:t>
      </w:r>
      <w:r>
        <w:rPr>
          <w:color w:val="000000" w:themeColor="text1"/>
          <w:sz w:val="24"/>
          <w:szCs w:val="24"/>
        </w:rPr>
        <w:t xml:space="preserve"> </w:t>
      </w:r>
      <w:r w:rsidRPr="0013632E">
        <w:rPr>
          <w:color w:val="FF0000"/>
          <w:sz w:val="24"/>
          <w:szCs w:val="24"/>
        </w:rPr>
        <w:t>page 25</w:t>
      </w:r>
    </w:p>
    <w:p w14:paraId="2D0AEC35" w14:textId="77777777" w:rsidR="0013632E" w:rsidRDefault="0013632E" w:rsidP="0013632E">
      <w:pPr>
        <w:pStyle w:val="NoSpacing"/>
        <w:numPr>
          <w:ilvl w:val="0"/>
          <w:numId w:val="2"/>
        </w:numPr>
        <w:rPr>
          <w:color w:val="000000" w:themeColor="text1"/>
          <w:sz w:val="24"/>
          <w:szCs w:val="24"/>
        </w:rPr>
      </w:pPr>
      <w:r w:rsidRPr="0013632E">
        <w:rPr>
          <w:color w:val="FF0000"/>
          <w:sz w:val="24"/>
          <w:szCs w:val="24"/>
        </w:rPr>
        <w:t>Add Section XIX - Applicable Law page 26</w:t>
      </w:r>
    </w:p>
    <w:p w14:paraId="171476D6" w14:textId="77777777" w:rsidR="0013632E" w:rsidRPr="0013632E" w:rsidRDefault="0013632E" w:rsidP="0013632E">
      <w:pPr>
        <w:pStyle w:val="NoSpacing"/>
        <w:numPr>
          <w:ilvl w:val="0"/>
          <w:numId w:val="2"/>
        </w:numPr>
        <w:rPr>
          <w:color w:val="FF0000"/>
          <w:sz w:val="24"/>
          <w:szCs w:val="24"/>
        </w:rPr>
      </w:pPr>
      <w:r w:rsidRPr="0013632E">
        <w:rPr>
          <w:color w:val="FF0000"/>
          <w:sz w:val="24"/>
          <w:szCs w:val="24"/>
        </w:rPr>
        <w:t>Add Section XX -  Glossary  page 26</w:t>
      </w:r>
    </w:p>
    <w:p w14:paraId="3DB7E713" w14:textId="53288EAE" w:rsidR="00D52A5E" w:rsidRPr="004A1A44" w:rsidRDefault="00D52A5E">
      <w:pPr>
        <w:rPr>
          <w:color w:val="000000" w:themeColor="text1"/>
          <w:sz w:val="24"/>
          <w:szCs w:val="24"/>
        </w:rPr>
      </w:pPr>
    </w:p>
    <w:p w14:paraId="55F68DB0" w14:textId="139C90AF" w:rsidR="00D52A5E" w:rsidRPr="0013632E" w:rsidRDefault="00D52A5E" w:rsidP="0013632E">
      <w:pPr>
        <w:ind w:left="90" w:hanging="90"/>
        <w:rPr>
          <w:color w:val="000000" w:themeColor="text1"/>
          <w:sz w:val="24"/>
          <w:szCs w:val="24"/>
          <w:u w:val="single"/>
        </w:rPr>
      </w:pPr>
      <w:r w:rsidRPr="0013632E">
        <w:rPr>
          <w:b/>
          <w:color w:val="000000" w:themeColor="text1"/>
          <w:sz w:val="24"/>
          <w:szCs w:val="24"/>
          <w:u w:val="single"/>
        </w:rPr>
        <w:t xml:space="preserve">Page 5 Section II, subsection </w:t>
      </w:r>
      <w:r w:rsidR="006B7290" w:rsidRPr="0013632E">
        <w:rPr>
          <w:b/>
          <w:color w:val="000000" w:themeColor="text1"/>
          <w:sz w:val="24"/>
          <w:szCs w:val="24"/>
          <w:u w:val="single"/>
        </w:rPr>
        <w:t>A (</w:t>
      </w:r>
      <w:r w:rsidRPr="0013632E">
        <w:rPr>
          <w:b/>
          <w:color w:val="000000" w:themeColor="text1"/>
          <w:sz w:val="24"/>
          <w:szCs w:val="24"/>
          <w:u w:val="single"/>
        </w:rPr>
        <w:t xml:space="preserve">5) </w:t>
      </w:r>
      <w:r w:rsidR="006B7290" w:rsidRPr="0013632E">
        <w:rPr>
          <w:b/>
          <w:color w:val="000000" w:themeColor="text1"/>
          <w:sz w:val="24"/>
          <w:szCs w:val="24"/>
          <w:u w:val="single"/>
        </w:rPr>
        <w:t>‘Commercial</w:t>
      </w:r>
      <w:r w:rsidRPr="0013632E">
        <w:rPr>
          <w:b/>
          <w:color w:val="000000" w:themeColor="text1"/>
          <w:sz w:val="24"/>
          <w:szCs w:val="24"/>
          <w:u w:val="single"/>
        </w:rPr>
        <w:t xml:space="preserve"> Establishments’ </w:t>
      </w:r>
      <w:r w:rsidR="00C917BF">
        <w:rPr>
          <w:b/>
          <w:color w:val="000000" w:themeColor="text1"/>
          <w:sz w:val="24"/>
          <w:szCs w:val="24"/>
          <w:u w:val="single"/>
        </w:rPr>
        <w:t>should</w:t>
      </w:r>
      <w:r w:rsidRPr="0013632E">
        <w:rPr>
          <w:b/>
          <w:color w:val="000000" w:themeColor="text1"/>
          <w:sz w:val="24"/>
          <w:szCs w:val="24"/>
          <w:u w:val="single"/>
        </w:rPr>
        <w:t xml:space="preserve"> read:</w:t>
      </w:r>
    </w:p>
    <w:p w14:paraId="1EB83F02" w14:textId="5286424B" w:rsidR="00D52A5E" w:rsidRPr="004A1A44" w:rsidRDefault="00D52A5E" w:rsidP="008F2A56">
      <w:pPr>
        <w:pStyle w:val="ListParagraph"/>
        <w:ind w:left="0"/>
        <w:rPr>
          <w:color w:val="000000" w:themeColor="text1"/>
          <w:sz w:val="24"/>
          <w:szCs w:val="24"/>
        </w:rPr>
      </w:pPr>
      <w:r w:rsidRPr="004A1A44">
        <w:rPr>
          <w:color w:val="000000" w:themeColor="text1"/>
          <w:sz w:val="24"/>
          <w:szCs w:val="24"/>
        </w:rPr>
        <w:t xml:space="preserve">Commercial Establishments:  In addition to collection of residential solid waste CONTRACTOR shall also collect solid waste from commercial establishments that set out garbage, which waste the City determines meets the requirements and limitations of the regulatory definition of municipal solid waste as described in Section </w:t>
      </w:r>
      <w:r w:rsidR="008F2A56" w:rsidRPr="008F2A56">
        <w:rPr>
          <w:strike/>
          <w:color w:val="000000" w:themeColor="text1"/>
          <w:sz w:val="24"/>
          <w:szCs w:val="24"/>
        </w:rPr>
        <w:t>XVIII</w:t>
      </w:r>
      <w:r w:rsidR="008F2A56">
        <w:rPr>
          <w:color w:val="000000" w:themeColor="text1"/>
          <w:sz w:val="24"/>
          <w:szCs w:val="24"/>
        </w:rPr>
        <w:t xml:space="preserve"> </w:t>
      </w:r>
      <w:r w:rsidRPr="0013632E">
        <w:rPr>
          <w:color w:val="FF0000"/>
          <w:sz w:val="24"/>
          <w:szCs w:val="24"/>
        </w:rPr>
        <w:t>XX</w:t>
      </w:r>
      <w:r w:rsidRPr="004A1A44">
        <w:rPr>
          <w:color w:val="000000" w:themeColor="text1"/>
          <w:sz w:val="24"/>
          <w:szCs w:val="24"/>
        </w:rPr>
        <w:t>.</w:t>
      </w:r>
    </w:p>
    <w:p w14:paraId="0960D29B" w14:textId="0D4D9889" w:rsidR="00D52A5E" w:rsidRPr="004A1A44" w:rsidRDefault="00D52A5E" w:rsidP="0013632E">
      <w:pPr>
        <w:rPr>
          <w:b/>
          <w:color w:val="000000" w:themeColor="text1"/>
          <w:sz w:val="24"/>
          <w:szCs w:val="24"/>
          <w:u w:val="single"/>
        </w:rPr>
      </w:pPr>
      <w:r w:rsidRPr="004A1A44">
        <w:rPr>
          <w:b/>
          <w:color w:val="000000" w:themeColor="text1"/>
          <w:sz w:val="24"/>
          <w:szCs w:val="24"/>
          <w:u w:val="single"/>
        </w:rPr>
        <w:t>Page 7</w:t>
      </w:r>
      <w:r w:rsidR="003315B5">
        <w:rPr>
          <w:b/>
          <w:color w:val="000000" w:themeColor="text1"/>
          <w:sz w:val="24"/>
          <w:szCs w:val="24"/>
          <w:u w:val="single"/>
        </w:rPr>
        <w:t xml:space="preserve"> </w:t>
      </w:r>
      <w:r w:rsidRPr="004A1A44">
        <w:rPr>
          <w:b/>
          <w:color w:val="000000" w:themeColor="text1"/>
          <w:sz w:val="24"/>
          <w:szCs w:val="24"/>
          <w:u w:val="single"/>
        </w:rPr>
        <w:t xml:space="preserve">Section II, subsection G ‘Storm damage or natural disaster cleanup and disposal’, second paragraph  </w:t>
      </w:r>
      <w:r w:rsidRPr="004A1A44">
        <w:rPr>
          <w:b/>
          <w:color w:val="000000" w:themeColor="text1"/>
          <w:sz w:val="24"/>
          <w:szCs w:val="24"/>
        </w:rPr>
        <w:t xml:space="preserve">  “The Contractor shall document any increase in volume of household garbage and provide copies of the documentation for the CITY to submit to FEMA or other necessary outside agencies, for reimbursement or any other purpose.” </w:t>
      </w:r>
      <w:r w:rsidR="00C917BF">
        <w:rPr>
          <w:b/>
          <w:color w:val="000000" w:themeColor="text1"/>
          <w:sz w:val="24"/>
          <w:szCs w:val="24"/>
        </w:rPr>
        <w:t>S</w:t>
      </w:r>
      <w:r w:rsidR="00C917BF" w:rsidRPr="004A1A44">
        <w:rPr>
          <w:b/>
          <w:color w:val="000000" w:themeColor="text1"/>
          <w:sz w:val="24"/>
          <w:szCs w:val="24"/>
        </w:rPr>
        <w:t>hould read</w:t>
      </w:r>
      <w:r w:rsidRPr="004A1A44">
        <w:rPr>
          <w:b/>
          <w:color w:val="000000" w:themeColor="text1"/>
          <w:sz w:val="24"/>
          <w:szCs w:val="24"/>
        </w:rPr>
        <w:t>:</w:t>
      </w:r>
    </w:p>
    <w:p w14:paraId="6762685A" w14:textId="49BF847B" w:rsidR="00D52A5E" w:rsidRPr="0013632E" w:rsidRDefault="006B7290" w:rsidP="00D52A5E">
      <w:pPr>
        <w:rPr>
          <w:color w:val="FF0000"/>
          <w:sz w:val="24"/>
          <w:szCs w:val="24"/>
        </w:rPr>
      </w:pPr>
      <w:r>
        <w:rPr>
          <w:color w:val="FF0000"/>
          <w:sz w:val="24"/>
          <w:szCs w:val="24"/>
        </w:rPr>
        <w:t>T</w:t>
      </w:r>
      <w:r w:rsidR="00D52A5E" w:rsidRPr="0013632E">
        <w:rPr>
          <w:color w:val="FF0000"/>
          <w:sz w:val="24"/>
          <w:szCs w:val="24"/>
        </w:rPr>
        <w:t>he Cont</w:t>
      </w:r>
      <w:r w:rsidR="00FD3AA6" w:rsidRPr="0013632E">
        <w:rPr>
          <w:color w:val="FF0000"/>
          <w:sz w:val="24"/>
          <w:szCs w:val="24"/>
        </w:rPr>
        <w:t>r</w:t>
      </w:r>
      <w:r w:rsidR="00D52A5E" w:rsidRPr="0013632E">
        <w:rPr>
          <w:color w:val="FF0000"/>
          <w:sz w:val="24"/>
          <w:szCs w:val="24"/>
        </w:rPr>
        <w:t xml:space="preserve">actor shall provide copies of documentation for the CITY to submit to FEMA or other necessary outside agencies, for reimbursement or any other purpose, if requested by CITY. </w:t>
      </w:r>
    </w:p>
    <w:p w14:paraId="36826BA5" w14:textId="69F9DC89" w:rsidR="00D52A5E" w:rsidRPr="006B7290" w:rsidRDefault="006B7290" w:rsidP="006B7290">
      <w:pPr>
        <w:ind w:left="360" w:hanging="360"/>
        <w:rPr>
          <w:b/>
          <w:color w:val="000000" w:themeColor="text1"/>
          <w:sz w:val="24"/>
          <w:szCs w:val="24"/>
          <w:u w:val="single"/>
        </w:rPr>
      </w:pPr>
      <w:r>
        <w:rPr>
          <w:b/>
          <w:color w:val="000000" w:themeColor="text1"/>
          <w:sz w:val="24"/>
          <w:szCs w:val="24"/>
          <w:u w:val="single"/>
        </w:rPr>
        <w:t xml:space="preserve">Page </w:t>
      </w:r>
      <w:r w:rsidR="000F68F0">
        <w:rPr>
          <w:b/>
          <w:color w:val="000000" w:themeColor="text1"/>
          <w:sz w:val="24"/>
          <w:szCs w:val="24"/>
          <w:u w:val="single"/>
        </w:rPr>
        <w:t>31 Exhibit</w:t>
      </w:r>
      <w:r w:rsidR="00D52A5E" w:rsidRPr="006B7290">
        <w:rPr>
          <w:b/>
          <w:color w:val="000000" w:themeColor="text1"/>
          <w:sz w:val="24"/>
          <w:szCs w:val="24"/>
          <w:u w:val="single"/>
        </w:rPr>
        <w:t xml:space="preserve"> B, where it states Customer Service Office, under “Frequency”</w:t>
      </w:r>
      <w:r w:rsidR="00C917BF">
        <w:rPr>
          <w:b/>
          <w:color w:val="000000" w:themeColor="text1"/>
          <w:sz w:val="24"/>
          <w:szCs w:val="24"/>
          <w:u w:val="single"/>
        </w:rPr>
        <w:t xml:space="preserve"> S</w:t>
      </w:r>
      <w:r w:rsidR="00D52A5E" w:rsidRPr="006B7290">
        <w:rPr>
          <w:b/>
          <w:color w:val="000000" w:themeColor="text1"/>
          <w:sz w:val="24"/>
          <w:szCs w:val="24"/>
          <w:u w:val="single"/>
        </w:rPr>
        <w:t xml:space="preserve">hould read: </w:t>
      </w:r>
    </w:p>
    <w:p w14:paraId="44C6BE81" w14:textId="534A3FD2" w:rsidR="00D52A5E" w:rsidRPr="004A1A44" w:rsidRDefault="00D52A5E" w:rsidP="006B7290">
      <w:pPr>
        <w:rPr>
          <w:color w:val="000000" w:themeColor="text1"/>
          <w:sz w:val="24"/>
          <w:szCs w:val="24"/>
        </w:rPr>
      </w:pPr>
      <w:r w:rsidRPr="008968DB">
        <w:rPr>
          <w:color w:val="FF0000"/>
          <w:sz w:val="24"/>
          <w:szCs w:val="24"/>
        </w:rPr>
        <w:t>Regular contracted negotiated office hours (Monday through Saturday) and</w:t>
      </w:r>
      <w:r w:rsidRPr="004A1A44">
        <w:rPr>
          <w:color w:val="000000" w:themeColor="text1"/>
          <w:sz w:val="24"/>
          <w:szCs w:val="24"/>
        </w:rPr>
        <w:t xml:space="preserve"> on call Basis; Seven Day/ Week; 24 hours. Emergency Telephone number must be provided.  </w:t>
      </w:r>
    </w:p>
    <w:p w14:paraId="4F1A1F8B" w14:textId="3838E785" w:rsidR="00FD3AA6" w:rsidRPr="004A1A44" w:rsidRDefault="00FD3AA6" w:rsidP="00D52A5E">
      <w:pPr>
        <w:ind w:left="360"/>
        <w:rPr>
          <w:b/>
          <w:color w:val="000000" w:themeColor="text1"/>
          <w:sz w:val="24"/>
          <w:szCs w:val="24"/>
          <w:u w:val="single"/>
        </w:rPr>
      </w:pPr>
    </w:p>
    <w:p w14:paraId="7A16B2DA" w14:textId="097AB864" w:rsidR="00FD3AA6" w:rsidRPr="006B7290" w:rsidRDefault="00371864" w:rsidP="006B7290">
      <w:pPr>
        <w:rPr>
          <w:b/>
          <w:color w:val="000000" w:themeColor="text1"/>
          <w:sz w:val="24"/>
          <w:szCs w:val="24"/>
          <w:u w:val="single"/>
        </w:rPr>
      </w:pPr>
      <w:r>
        <w:rPr>
          <w:b/>
          <w:color w:val="000000" w:themeColor="text1"/>
          <w:sz w:val="24"/>
          <w:szCs w:val="24"/>
          <w:u w:val="single"/>
        </w:rPr>
        <w:lastRenderedPageBreak/>
        <w:t>P</w:t>
      </w:r>
      <w:r w:rsidR="00FD3AA6" w:rsidRPr="006B7290">
        <w:rPr>
          <w:b/>
          <w:color w:val="000000" w:themeColor="text1"/>
          <w:sz w:val="24"/>
          <w:szCs w:val="24"/>
          <w:u w:val="single"/>
        </w:rPr>
        <w:t xml:space="preserve">age 13 Section II, subsection M, fifth paragraph it states “No vehicles, other than those identified and submitted to the City, shall be allowed or authorized to dispose in the City.”  </w:t>
      </w:r>
      <w:r w:rsidR="00C917BF">
        <w:rPr>
          <w:b/>
          <w:color w:val="000000" w:themeColor="text1"/>
          <w:sz w:val="24"/>
          <w:szCs w:val="24"/>
          <w:u w:val="single"/>
        </w:rPr>
        <w:t>Should</w:t>
      </w:r>
      <w:r w:rsidR="00FD3AA6" w:rsidRPr="006B7290">
        <w:rPr>
          <w:b/>
          <w:color w:val="000000" w:themeColor="text1"/>
          <w:sz w:val="24"/>
          <w:szCs w:val="24"/>
          <w:u w:val="single"/>
        </w:rPr>
        <w:t xml:space="preserve"> read:</w:t>
      </w:r>
    </w:p>
    <w:p w14:paraId="44E1907B" w14:textId="318E74CC" w:rsidR="00FD3AA6" w:rsidRPr="006B7290" w:rsidRDefault="00FD3AA6" w:rsidP="006B7290">
      <w:pPr>
        <w:rPr>
          <w:color w:val="FF0000"/>
          <w:sz w:val="24"/>
          <w:szCs w:val="24"/>
        </w:rPr>
      </w:pPr>
      <w:r w:rsidRPr="006B7290">
        <w:rPr>
          <w:color w:val="FF0000"/>
          <w:sz w:val="24"/>
          <w:szCs w:val="24"/>
        </w:rPr>
        <w:t>No vehicles, other than those identified and submitted to the City</w:t>
      </w:r>
      <w:r w:rsidR="000F68F0">
        <w:rPr>
          <w:color w:val="FF0000"/>
          <w:sz w:val="24"/>
          <w:szCs w:val="24"/>
        </w:rPr>
        <w:t>,</w:t>
      </w:r>
      <w:r w:rsidRPr="006B7290">
        <w:rPr>
          <w:color w:val="FF0000"/>
          <w:sz w:val="24"/>
          <w:szCs w:val="24"/>
        </w:rPr>
        <w:t xml:space="preserve"> shall be allowed or authorized to be used by CONTRACTOR within the City</w:t>
      </w:r>
    </w:p>
    <w:p w14:paraId="09F18DF0" w14:textId="1CFDAF25" w:rsidR="00FD3AA6" w:rsidRPr="004A1A44" w:rsidRDefault="00FD3AA6" w:rsidP="00FD3AA6">
      <w:pPr>
        <w:rPr>
          <w:b/>
          <w:color w:val="000000" w:themeColor="text1"/>
          <w:sz w:val="24"/>
          <w:szCs w:val="24"/>
          <w:u w:val="single"/>
        </w:rPr>
      </w:pPr>
      <w:r w:rsidRPr="004A1A44">
        <w:rPr>
          <w:b/>
          <w:color w:val="000000" w:themeColor="text1"/>
          <w:sz w:val="24"/>
          <w:szCs w:val="24"/>
          <w:u w:val="single"/>
        </w:rPr>
        <w:t xml:space="preserve">             </w:t>
      </w:r>
    </w:p>
    <w:p w14:paraId="02467FA9" w14:textId="05B7E456" w:rsidR="00D52A5E" w:rsidRPr="004A1A44" w:rsidRDefault="00D52A5E" w:rsidP="00D52A5E">
      <w:pPr>
        <w:rPr>
          <w:color w:val="000000" w:themeColor="text1"/>
          <w:sz w:val="24"/>
          <w:szCs w:val="24"/>
        </w:rPr>
      </w:pPr>
    </w:p>
    <w:p w14:paraId="49510A9F" w14:textId="77777777" w:rsidR="00D52A5E" w:rsidRPr="004A1A44" w:rsidRDefault="00D52A5E" w:rsidP="00D52A5E">
      <w:pPr>
        <w:rPr>
          <w:color w:val="000000" w:themeColor="text1"/>
          <w:sz w:val="24"/>
          <w:szCs w:val="24"/>
        </w:rPr>
      </w:pPr>
    </w:p>
    <w:p w14:paraId="2FA2713C" w14:textId="4ED85C00" w:rsidR="00D52A5E" w:rsidRPr="004A1A44" w:rsidRDefault="00D52A5E" w:rsidP="00D52A5E">
      <w:pPr>
        <w:pStyle w:val="ListParagraph"/>
        <w:rPr>
          <w:color w:val="000000" w:themeColor="text1"/>
          <w:sz w:val="24"/>
          <w:szCs w:val="24"/>
        </w:rPr>
      </w:pPr>
      <w:r w:rsidRPr="004A1A44">
        <w:rPr>
          <w:color w:val="000000" w:themeColor="text1"/>
          <w:sz w:val="24"/>
          <w:szCs w:val="24"/>
        </w:rPr>
        <w:t xml:space="preserve">  </w:t>
      </w:r>
    </w:p>
    <w:p w14:paraId="4975F453" w14:textId="4D2AEEE4" w:rsidR="00D52A5E" w:rsidRPr="004A1A44" w:rsidRDefault="00D52A5E" w:rsidP="00D52A5E">
      <w:pPr>
        <w:rPr>
          <w:color w:val="000000" w:themeColor="text1"/>
          <w:sz w:val="24"/>
          <w:szCs w:val="24"/>
        </w:rPr>
      </w:pPr>
    </w:p>
    <w:p w14:paraId="031B7966" w14:textId="4DA7D29C" w:rsidR="00D52A5E" w:rsidRPr="004A1A44" w:rsidRDefault="00D52A5E" w:rsidP="00D52A5E">
      <w:pPr>
        <w:pStyle w:val="ListParagraph"/>
        <w:rPr>
          <w:color w:val="000000" w:themeColor="text1"/>
          <w:sz w:val="24"/>
          <w:szCs w:val="24"/>
        </w:rPr>
      </w:pPr>
    </w:p>
    <w:p w14:paraId="233ACFE0" w14:textId="224594B3" w:rsidR="00D52A5E" w:rsidRDefault="00D52A5E" w:rsidP="00D52A5E">
      <w:pPr>
        <w:pStyle w:val="ListParagraph"/>
      </w:pPr>
    </w:p>
    <w:p w14:paraId="533257AF" w14:textId="77777777" w:rsidR="00D52A5E" w:rsidRPr="00D52A5E" w:rsidRDefault="00D52A5E" w:rsidP="00D52A5E">
      <w:pPr>
        <w:pStyle w:val="ListParagraph"/>
      </w:pPr>
    </w:p>
    <w:sectPr w:rsidR="00D52A5E" w:rsidRPr="00D52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6497"/>
    <w:multiLevelType w:val="hybridMultilevel"/>
    <w:tmpl w:val="AB4E5ABC"/>
    <w:lvl w:ilvl="0" w:tplc="5A0E449E">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1A515F0"/>
    <w:multiLevelType w:val="hybridMultilevel"/>
    <w:tmpl w:val="693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5E"/>
    <w:rsid w:val="000F68F0"/>
    <w:rsid w:val="0013632E"/>
    <w:rsid w:val="003315B5"/>
    <w:rsid w:val="00371864"/>
    <w:rsid w:val="004A1A44"/>
    <w:rsid w:val="005F5C10"/>
    <w:rsid w:val="006B7290"/>
    <w:rsid w:val="008968DB"/>
    <w:rsid w:val="008F2A56"/>
    <w:rsid w:val="00A65669"/>
    <w:rsid w:val="00C563D7"/>
    <w:rsid w:val="00C917BF"/>
    <w:rsid w:val="00D52A5E"/>
    <w:rsid w:val="00FD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25DD"/>
  <w15:chartTrackingRefBased/>
  <w15:docId w15:val="{3AB5873D-9A83-4B8C-B9CC-B521237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5E"/>
    <w:pPr>
      <w:ind w:left="720"/>
      <w:contextualSpacing/>
    </w:pPr>
  </w:style>
  <w:style w:type="paragraph" w:styleId="NoSpacing">
    <w:name w:val="No Spacing"/>
    <w:uiPriority w:val="1"/>
    <w:qFormat/>
    <w:rsid w:val="0013632E"/>
    <w:pPr>
      <w:spacing w:after="0" w:line="240" w:lineRule="auto"/>
    </w:pPr>
  </w:style>
  <w:style w:type="paragraph" w:styleId="BalloonText">
    <w:name w:val="Balloon Text"/>
    <w:basedOn w:val="Normal"/>
    <w:link w:val="BalloonTextChar"/>
    <w:uiPriority w:val="99"/>
    <w:semiHidden/>
    <w:unhideWhenUsed/>
    <w:rsid w:val="00896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Yancey</dc:creator>
  <cp:keywords/>
  <dc:description/>
  <cp:lastModifiedBy>Cindy Russell</cp:lastModifiedBy>
  <cp:revision>2</cp:revision>
  <cp:lastPrinted>2018-06-19T21:38:00Z</cp:lastPrinted>
  <dcterms:created xsi:type="dcterms:W3CDTF">2018-06-19T22:11:00Z</dcterms:created>
  <dcterms:modified xsi:type="dcterms:W3CDTF">2018-06-19T22:11:00Z</dcterms:modified>
</cp:coreProperties>
</file>