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8" w:type="dxa"/>
        <w:tblLook w:val="04A0" w:firstRow="1" w:lastRow="0" w:firstColumn="1" w:lastColumn="0" w:noHBand="0" w:noVBand="1"/>
      </w:tblPr>
      <w:tblGrid>
        <w:gridCol w:w="10768"/>
      </w:tblGrid>
      <w:tr w:rsidR="00E43A04" w:rsidTr="00E43A04">
        <w:trPr>
          <w:trHeight w:val="3681"/>
        </w:trPr>
        <w:tc>
          <w:tcPr>
            <w:tcW w:w="10768" w:type="dxa"/>
            <w:shd w:val="clear" w:color="auto" w:fill="D9E2F3" w:themeFill="accent5" w:themeFillTint="33"/>
          </w:tcPr>
          <w:p w:rsidR="00E43A04" w:rsidRPr="00545384" w:rsidRDefault="00E43A04" w:rsidP="00E43A04">
            <w:pPr>
              <w:jc w:val="both"/>
              <w:rPr>
                <w:rFonts w:cs="Arial"/>
              </w:rPr>
            </w:pPr>
            <w:r w:rsidRPr="00545384">
              <w:rPr>
                <w:rFonts w:cs="Arial"/>
              </w:rPr>
              <w:t>The Wessex Water Pension Scheme Defined Contribution Section (the scheme) is set up under trust and is managed by a group of trustees.  The scheme enables you to save in a tax-efficient way for your pension. The company will make</w:t>
            </w:r>
            <w:r>
              <w:rPr>
                <w:rFonts w:cs="Arial"/>
              </w:rPr>
              <w:t xml:space="preserve"> </w:t>
            </w:r>
            <w:r w:rsidRPr="00545384">
              <w:rPr>
                <w:rFonts w:cs="Arial"/>
              </w:rPr>
              <w:t xml:space="preserve">contributions to the scheme on your behalf which will be invested with Legal &amp; General. </w:t>
            </w:r>
          </w:p>
          <w:p w:rsidR="00E43A04" w:rsidRPr="00545384" w:rsidRDefault="00E43A04" w:rsidP="00E43A04">
            <w:pPr>
              <w:rPr>
                <w:rFonts w:cs="Arial"/>
                <w:b/>
              </w:rPr>
            </w:pPr>
            <w:r w:rsidRPr="00545384">
              <w:rPr>
                <w:rFonts w:cs="Arial"/>
                <w:b/>
              </w:rPr>
              <w:t>The Scheme:</w:t>
            </w:r>
          </w:p>
          <w:p w:rsidR="00E43A04" w:rsidRPr="00545384" w:rsidRDefault="00E43A04" w:rsidP="00E43A04">
            <w:pPr>
              <w:numPr>
                <w:ilvl w:val="0"/>
                <w:numId w:val="1"/>
              </w:numPr>
              <w:rPr>
                <w:rFonts w:cs="Arial"/>
              </w:rPr>
            </w:pPr>
            <w:r w:rsidRPr="00545384">
              <w:rPr>
                <w:rFonts w:cs="Arial"/>
              </w:rPr>
              <w:t>You will be automatically enrolled into the scheme from the start of your employment</w:t>
            </w:r>
          </w:p>
          <w:p w:rsidR="00E43A04" w:rsidRPr="00545384" w:rsidRDefault="00E43A04" w:rsidP="00E43A04">
            <w:pPr>
              <w:numPr>
                <w:ilvl w:val="0"/>
                <w:numId w:val="1"/>
              </w:numPr>
              <w:rPr>
                <w:rFonts w:cs="Arial"/>
              </w:rPr>
            </w:pPr>
            <w:r w:rsidRPr="00545384">
              <w:rPr>
                <w:rFonts w:cs="Arial"/>
              </w:rPr>
              <w:t xml:space="preserve">Contributions will be deducted from your pensionable salary at the </w:t>
            </w:r>
            <w:r w:rsidRPr="00545384">
              <w:rPr>
                <w:rFonts w:cs="Arial"/>
                <w:b/>
                <w:color w:val="0070C0"/>
              </w:rPr>
              <w:t>Starter Level of 3% pa</w:t>
            </w:r>
          </w:p>
          <w:p w:rsidR="00E43A04" w:rsidRPr="00545384" w:rsidRDefault="00E43A04" w:rsidP="00E43A04">
            <w:pPr>
              <w:numPr>
                <w:ilvl w:val="0"/>
                <w:numId w:val="1"/>
              </w:numPr>
              <w:rPr>
                <w:rFonts w:cs="Arial"/>
              </w:rPr>
            </w:pPr>
            <w:r w:rsidRPr="00545384">
              <w:rPr>
                <w:rFonts w:cs="Arial"/>
              </w:rPr>
              <w:t>The company will contribute contributions of 5% pa in addition to the amount you pay</w:t>
            </w:r>
          </w:p>
          <w:p w:rsidR="00E43A04" w:rsidRPr="00545384" w:rsidRDefault="00E43A04" w:rsidP="00E43A04">
            <w:pPr>
              <w:numPr>
                <w:ilvl w:val="0"/>
                <w:numId w:val="1"/>
              </w:numPr>
              <w:rPr>
                <w:rFonts w:cs="Arial"/>
              </w:rPr>
            </w:pPr>
            <w:r w:rsidRPr="00545384">
              <w:rPr>
                <w:rFonts w:cs="Arial"/>
              </w:rPr>
              <w:t>The scheme’s default normal retirement age is 65</w:t>
            </w:r>
          </w:p>
          <w:p w:rsidR="00E43A04" w:rsidRPr="00545384" w:rsidRDefault="00E43A04" w:rsidP="00E43A04">
            <w:pPr>
              <w:numPr>
                <w:ilvl w:val="0"/>
                <w:numId w:val="1"/>
              </w:numPr>
              <w:rPr>
                <w:rFonts w:cs="Arial"/>
              </w:rPr>
            </w:pPr>
            <w:r w:rsidRPr="00545384">
              <w:rPr>
                <w:rFonts w:cs="Arial"/>
              </w:rPr>
              <w:t xml:space="preserve">You should consider whether age 65 is appropriate for your retirement plans - you are able to select an alternative retirement age should you wish </w:t>
            </w:r>
          </w:p>
          <w:p w:rsidR="00E43A04" w:rsidRPr="00545384" w:rsidRDefault="00E43A04" w:rsidP="00E43A04">
            <w:pPr>
              <w:numPr>
                <w:ilvl w:val="0"/>
                <w:numId w:val="1"/>
              </w:numPr>
              <w:rPr>
                <w:rFonts w:cs="Arial"/>
              </w:rPr>
            </w:pPr>
            <w:r w:rsidRPr="00545384">
              <w:rPr>
                <w:rFonts w:cs="Arial"/>
              </w:rPr>
              <w:t xml:space="preserve">A dedicated website is available where you can find more information on the investment options available and general details about the scheme </w:t>
            </w:r>
            <w:hyperlink r:id="rId8" w:history="1">
              <w:r w:rsidRPr="00545384">
                <w:rPr>
                  <w:rFonts w:eastAsia="Calibri" w:cs="Arial"/>
                  <w:b/>
                  <w:color w:val="0000FF"/>
                  <w:u w:val="single"/>
                </w:rPr>
                <w:t>http://www.legalandgeneral.com/wessexwater</w:t>
              </w:r>
            </w:hyperlink>
          </w:p>
          <w:p w:rsidR="00E43A04" w:rsidRDefault="00E43A04" w:rsidP="00E43A04">
            <w:pPr>
              <w:numPr>
                <w:ilvl w:val="0"/>
                <w:numId w:val="1"/>
              </w:numPr>
            </w:pPr>
            <w:r w:rsidRPr="00545384">
              <w:rPr>
                <w:rFonts w:cs="Arial"/>
              </w:rPr>
              <w:t xml:space="preserve">You can also call the Legal &amp; General helpline on 0345 0708686 quoting PIN number 68. </w:t>
            </w:r>
          </w:p>
        </w:tc>
      </w:tr>
      <w:tr w:rsidR="00E43A04" w:rsidTr="00E43A04">
        <w:tc>
          <w:tcPr>
            <w:tcW w:w="10768" w:type="dxa"/>
            <w:shd w:val="clear" w:color="auto" w:fill="F2F2F2" w:themeFill="background1" w:themeFillShade="F2"/>
          </w:tcPr>
          <w:p w:rsidR="00E43A04" w:rsidRPr="00545384" w:rsidRDefault="00E43A04" w:rsidP="00E43A04">
            <w:pPr>
              <w:rPr>
                <w:rFonts w:cs="Arial"/>
                <w:b/>
              </w:rPr>
            </w:pPr>
            <w:r w:rsidRPr="00545384">
              <w:rPr>
                <w:rFonts w:cs="Arial"/>
                <w:b/>
              </w:rPr>
              <w:t>Contributions:</w:t>
            </w:r>
          </w:p>
          <w:p w:rsidR="00E43A04" w:rsidRPr="00545384" w:rsidRDefault="00E43A04" w:rsidP="00E43A04">
            <w:pPr>
              <w:numPr>
                <w:ilvl w:val="0"/>
                <w:numId w:val="1"/>
              </w:numPr>
              <w:rPr>
                <w:rFonts w:cs="Arial"/>
              </w:rPr>
            </w:pPr>
            <w:r w:rsidRPr="00545384">
              <w:rPr>
                <w:rFonts w:cs="Arial"/>
              </w:rPr>
              <w:t>Your contributions are taken by Salary Exchange reducing the amount of tax and national insurance you pay</w:t>
            </w:r>
          </w:p>
          <w:p w:rsidR="00E43A04" w:rsidRPr="00545384" w:rsidRDefault="00E43A04" w:rsidP="00E43A04">
            <w:pPr>
              <w:numPr>
                <w:ilvl w:val="0"/>
                <w:numId w:val="1"/>
              </w:numPr>
              <w:rPr>
                <w:rFonts w:cs="Arial"/>
              </w:rPr>
            </w:pPr>
            <w:r w:rsidRPr="00545384">
              <w:rPr>
                <w:rFonts w:cs="Arial"/>
              </w:rPr>
              <w:t xml:space="preserve">After your first contribution is paid you can increase your contributions to 5% and benefit from increased company contributions of 8% and improved insurance cover. </w:t>
            </w:r>
          </w:p>
          <w:p w:rsidR="00E43A04" w:rsidRPr="003429DE" w:rsidRDefault="00E43A04" w:rsidP="00E43A04">
            <w:pPr>
              <w:numPr>
                <w:ilvl w:val="0"/>
                <w:numId w:val="1"/>
              </w:numPr>
              <w:rPr>
                <w:rFonts w:cs="Arial"/>
              </w:rPr>
            </w:pPr>
            <w:r w:rsidRPr="003429DE">
              <w:rPr>
                <w:rFonts w:cs="Arial"/>
              </w:rPr>
              <w:t>You can choose to pay extra contributions above the Standard Level, these are known as Additional Voluntary Contributions (AVCs).</w:t>
            </w:r>
          </w:p>
          <w:tbl>
            <w:tblPr>
              <w:tblW w:w="8948"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1683"/>
              <w:gridCol w:w="1622"/>
              <w:gridCol w:w="3552"/>
            </w:tblGrid>
            <w:tr w:rsidR="00E43A04" w:rsidRPr="00E43A04" w:rsidTr="00F0037F">
              <w:tc>
                <w:tcPr>
                  <w:tcW w:w="2091" w:type="dxa"/>
                </w:tcPr>
                <w:p w:rsidR="00E43A04" w:rsidRPr="00C530C1" w:rsidRDefault="00E43A04" w:rsidP="00E43A04">
                  <w:pPr>
                    <w:pStyle w:val="NoSpacing"/>
                    <w:rPr>
                      <w:b/>
                    </w:rPr>
                  </w:pPr>
                  <w:r w:rsidRPr="00C530C1">
                    <w:rPr>
                      <w:b/>
                    </w:rPr>
                    <w:t>Your GROSS contribution</w:t>
                  </w:r>
                </w:p>
              </w:tc>
              <w:tc>
                <w:tcPr>
                  <w:tcW w:w="1683" w:type="dxa"/>
                </w:tcPr>
                <w:p w:rsidR="00E43A04" w:rsidRPr="00C530C1" w:rsidRDefault="00E43A04" w:rsidP="00E43A04">
                  <w:pPr>
                    <w:pStyle w:val="NoSpacing"/>
                    <w:rPr>
                      <w:b/>
                    </w:rPr>
                  </w:pPr>
                  <w:r w:rsidRPr="00C530C1">
                    <w:rPr>
                      <w:b/>
                    </w:rPr>
                    <w:t>Company contribution</w:t>
                  </w:r>
                </w:p>
              </w:tc>
              <w:tc>
                <w:tcPr>
                  <w:tcW w:w="1622" w:type="dxa"/>
                </w:tcPr>
                <w:p w:rsidR="00E43A04" w:rsidRPr="00C530C1" w:rsidRDefault="00E43A04" w:rsidP="00E43A04">
                  <w:pPr>
                    <w:pStyle w:val="NoSpacing"/>
                    <w:rPr>
                      <w:b/>
                    </w:rPr>
                  </w:pPr>
                  <w:r w:rsidRPr="00C530C1">
                    <w:rPr>
                      <w:b/>
                    </w:rPr>
                    <w:t>Total contributions</w:t>
                  </w:r>
                </w:p>
              </w:tc>
              <w:tc>
                <w:tcPr>
                  <w:tcW w:w="3552" w:type="dxa"/>
                </w:tcPr>
                <w:p w:rsidR="00E43A04" w:rsidRPr="00C530C1" w:rsidRDefault="00E43A04" w:rsidP="00E43A04">
                  <w:pPr>
                    <w:pStyle w:val="NoSpacing"/>
                    <w:rPr>
                      <w:b/>
                    </w:rPr>
                  </w:pPr>
                  <w:r w:rsidRPr="00C530C1">
                    <w:rPr>
                      <w:b/>
                    </w:rPr>
                    <w:t>Insurance Cover</w:t>
                  </w:r>
                </w:p>
              </w:tc>
            </w:tr>
            <w:tr w:rsidR="00E43A04" w:rsidRPr="00E43A04" w:rsidTr="00F0037F">
              <w:tc>
                <w:tcPr>
                  <w:tcW w:w="2091" w:type="dxa"/>
                  <w:tcBorders>
                    <w:bottom w:val="single" w:sz="4" w:space="0" w:color="auto"/>
                  </w:tcBorders>
                  <w:vAlign w:val="center"/>
                </w:tcPr>
                <w:p w:rsidR="00E43A04" w:rsidRPr="00C530C1" w:rsidRDefault="00E43A04" w:rsidP="00E43A04">
                  <w:pPr>
                    <w:pStyle w:val="NoSpacing"/>
                    <w:rPr>
                      <w:b/>
                      <w:color w:val="0070C0"/>
                    </w:rPr>
                  </w:pPr>
                  <w:r w:rsidRPr="00C530C1">
                    <w:rPr>
                      <w:b/>
                      <w:color w:val="0070C0"/>
                    </w:rPr>
                    <w:t>Starter Level - 3%</w:t>
                  </w:r>
                </w:p>
                <w:p w:rsidR="00E43A04" w:rsidRPr="00C530C1" w:rsidRDefault="00E43A04" w:rsidP="00E43A04">
                  <w:pPr>
                    <w:pStyle w:val="NoSpacing"/>
                    <w:rPr>
                      <w:b/>
                      <w:color w:val="0070C0"/>
                    </w:rPr>
                  </w:pPr>
                </w:p>
              </w:tc>
              <w:tc>
                <w:tcPr>
                  <w:tcW w:w="1683" w:type="dxa"/>
                  <w:tcBorders>
                    <w:bottom w:val="single" w:sz="4" w:space="0" w:color="auto"/>
                  </w:tcBorders>
                </w:tcPr>
                <w:p w:rsidR="00E43A04" w:rsidRPr="00C530C1" w:rsidRDefault="00E43A04" w:rsidP="00E43A04">
                  <w:pPr>
                    <w:pStyle w:val="NoSpacing"/>
                  </w:pPr>
                  <w:r w:rsidRPr="00C530C1">
                    <w:t>5%</w:t>
                  </w:r>
                </w:p>
              </w:tc>
              <w:tc>
                <w:tcPr>
                  <w:tcW w:w="1622" w:type="dxa"/>
                  <w:tcBorders>
                    <w:bottom w:val="single" w:sz="4" w:space="0" w:color="auto"/>
                  </w:tcBorders>
                </w:tcPr>
                <w:p w:rsidR="00E43A04" w:rsidRPr="00C530C1" w:rsidRDefault="00E43A04" w:rsidP="00E43A04">
                  <w:pPr>
                    <w:pStyle w:val="NoSpacing"/>
                  </w:pPr>
                  <w:r w:rsidRPr="00C530C1">
                    <w:t>8%</w:t>
                  </w:r>
                </w:p>
              </w:tc>
              <w:tc>
                <w:tcPr>
                  <w:tcW w:w="3552" w:type="dxa"/>
                  <w:tcBorders>
                    <w:bottom w:val="single" w:sz="4" w:space="0" w:color="auto"/>
                  </w:tcBorders>
                </w:tcPr>
                <w:p w:rsidR="00E43A04" w:rsidRPr="00C530C1" w:rsidRDefault="00E43A04" w:rsidP="00E43A04">
                  <w:pPr>
                    <w:pStyle w:val="NoSpacing"/>
                  </w:pPr>
                  <w:r w:rsidRPr="00C530C1">
                    <w:t>Lump sum – 3 x salary</w:t>
                  </w:r>
                </w:p>
              </w:tc>
            </w:tr>
            <w:tr w:rsidR="00E43A04" w:rsidRPr="00E43A04" w:rsidTr="00F0037F">
              <w:tc>
                <w:tcPr>
                  <w:tcW w:w="2091" w:type="dxa"/>
                  <w:vAlign w:val="center"/>
                </w:tcPr>
                <w:p w:rsidR="00E43A04" w:rsidRPr="00C530C1" w:rsidRDefault="00E43A04" w:rsidP="00E43A04">
                  <w:pPr>
                    <w:pStyle w:val="NoSpacing"/>
                    <w:rPr>
                      <w:b/>
                      <w:color w:val="0070C0"/>
                    </w:rPr>
                  </w:pPr>
                  <w:r w:rsidRPr="00C530C1">
                    <w:rPr>
                      <w:b/>
                      <w:color w:val="0070C0"/>
                    </w:rPr>
                    <w:t>Standard Level - 5%</w:t>
                  </w:r>
                </w:p>
              </w:tc>
              <w:tc>
                <w:tcPr>
                  <w:tcW w:w="1683" w:type="dxa"/>
                  <w:vAlign w:val="center"/>
                </w:tcPr>
                <w:p w:rsidR="00E43A04" w:rsidRPr="00C530C1" w:rsidRDefault="00E43A04" w:rsidP="00E43A04">
                  <w:pPr>
                    <w:pStyle w:val="NoSpacing"/>
                  </w:pPr>
                  <w:r w:rsidRPr="00C530C1">
                    <w:t>8%</w:t>
                  </w:r>
                </w:p>
              </w:tc>
              <w:tc>
                <w:tcPr>
                  <w:tcW w:w="1622" w:type="dxa"/>
                  <w:vAlign w:val="center"/>
                </w:tcPr>
                <w:p w:rsidR="00E43A04" w:rsidRPr="00C530C1" w:rsidRDefault="00E43A04" w:rsidP="00E43A04">
                  <w:pPr>
                    <w:pStyle w:val="NoSpacing"/>
                  </w:pPr>
                  <w:r w:rsidRPr="00C530C1">
                    <w:t>13%</w:t>
                  </w:r>
                </w:p>
              </w:tc>
              <w:tc>
                <w:tcPr>
                  <w:tcW w:w="3552" w:type="dxa"/>
                  <w:vAlign w:val="center"/>
                </w:tcPr>
                <w:p w:rsidR="00F0037F" w:rsidRPr="00C530C1" w:rsidRDefault="00E43A04" w:rsidP="00E43A04">
                  <w:pPr>
                    <w:pStyle w:val="NoSpacing"/>
                  </w:pPr>
                  <w:r w:rsidRPr="00C530C1">
                    <w:t>Lump sum – 4 x salary</w:t>
                  </w:r>
                </w:p>
                <w:p w:rsidR="00C530C1" w:rsidRPr="00C530C1" w:rsidRDefault="00C530C1" w:rsidP="00E43A04">
                  <w:pPr>
                    <w:pStyle w:val="NoSpacing"/>
                  </w:pPr>
                  <w:r w:rsidRPr="00C530C1">
                    <w:t xml:space="preserve">Additional Lump Sum 4 x salary where there is an eligible spouse/dependant </w:t>
                  </w:r>
                </w:p>
              </w:tc>
            </w:tr>
          </w:tbl>
          <w:p w:rsidR="00E43A04" w:rsidRDefault="00E43A04" w:rsidP="00071BF9">
            <w:pPr>
              <w:rPr>
                <w:rFonts w:cs="Arial"/>
              </w:rPr>
            </w:pPr>
          </w:p>
          <w:p w:rsidR="00C530C1" w:rsidRPr="00E43A04" w:rsidRDefault="00C530C1" w:rsidP="00071BF9">
            <w:pPr>
              <w:rPr>
                <w:rFonts w:cs="Arial"/>
              </w:rPr>
            </w:pPr>
          </w:p>
        </w:tc>
      </w:tr>
      <w:tr w:rsidR="00E43A04" w:rsidTr="00E43A04">
        <w:tc>
          <w:tcPr>
            <w:tcW w:w="10768" w:type="dxa"/>
            <w:shd w:val="clear" w:color="auto" w:fill="D9E2F3" w:themeFill="accent5" w:themeFillTint="33"/>
          </w:tcPr>
          <w:p w:rsidR="00E43A04" w:rsidRPr="00545384" w:rsidRDefault="00E43A04" w:rsidP="00E43A04">
            <w:pPr>
              <w:jc w:val="both"/>
              <w:rPr>
                <w:rFonts w:cs="Arial"/>
                <w:b/>
              </w:rPr>
            </w:pPr>
            <w:r w:rsidRPr="00545384">
              <w:rPr>
                <w:rFonts w:cs="Arial"/>
                <w:b/>
              </w:rPr>
              <w:t xml:space="preserve">Default Investment Option:  </w:t>
            </w:r>
            <w:r w:rsidRPr="00545384">
              <w:rPr>
                <w:rFonts w:cs="Arial"/>
                <w:b/>
                <w:color w:val="0070C0"/>
              </w:rPr>
              <w:t>The</w:t>
            </w:r>
            <w:r w:rsidRPr="00545384">
              <w:rPr>
                <w:rFonts w:cs="Arial"/>
                <w:b/>
              </w:rPr>
              <w:t xml:space="preserve"> </w:t>
            </w:r>
            <w:r w:rsidRPr="00545384">
              <w:rPr>
                <w:rFonts w:cs="Arial"/>
                <w:b/>
                <w:color w:val="0070C0"/>
              </w:rPr>
              <w:t>Retirement Planner 15 Year CASH Lifecycle</w:t>
            </w:r>
            <w:r w:rsidRPr="00545384">
              <w:rPr>
                <w:rFonts w:cs="Arial"/>
                <w:b/>
              </w:rPr>
              <w:t xml:space="preserve">  </w:t>
            </w:r>
          </w:p>
          <w:p w:rsidR="00E43A04" w:rsidRPr="00545384" w:rsidRDefault="00E43A04" w:rsidP="00E43A04">
            <w:pPr>
              <w:jc w:val="both"/>
              <w:rPr>
                <w:rFonts w:cs="Arial"/>
                <w:b/>
              </w:rPr>
            </w:pPr>
            <w:r w:rsidRPr="00545384">
              <w:rPr>
                <w:rFonts w:cs="Arial"/>
                <w:b/>
              </w:rPr>
              <w:t xml:space="preserve"> </w:t>
            </w:r>
          </w:p>
          <w:p w:rsidR="00E43A04" w:rsidRPr="00545384" w:rsidRDefault="00E43A04" w:rsidP="00E43A04">
            <w:pPr>
              <w:numPr>
                <w:ilvl w:val="0"/>
                <w:numId w:val="1"/>
              </w:numPr>
              <w:rPr>
                <w:rFonts w:cs="Arial"/>
              </w:rPr>
            </w:pPr>
            <w:r w:rsidRPr="00545384">
              <w:rPr>
                <w:rFonts w:cs="Arial"/>
              </w:rPr>
              <w:t>Contributions are invested in the default option unless you personally select other funds.</w:t>
            </w:r>
          </w:p>
          <w:p w:rsidR="00E43A04" w:rsidRPr="00545384" w:rsidRDefault="00E43A04" w:rsidP="00E43A04">
            <w:pPr>
              <w:numPr>
                <w:ilvl w:val="0"/>
                <w:numId w:val="1"/>
              </w:numPr>
              <w:rPr>
                <w:rFonts w:cs="Arial"/>
              </w:rPr>
            </w:pPr>
            <w:r w:rsidRPr="00545384">
              <w:rPr>
                <w:rFonts w:cs="Arial"/>
              </w:rPr>
              <w:t xml:space="preserve">You can select alternative funds and switch your investments, </w:t>
            </w:r>
            <w:proofErr w:type="spellStart"/>
            <w:r w:rsidRPr="00545384">
              <w:rPr>
                <w:rFonts w:cs="Arial"/>
              </w:rPr>
              <w:t>anytime</w:t>
            </w:r>
            <w:proofErr w:type="spellEnd"/>
            <w:r w:rsidRPr="00545384">
              <w:rPr>
                <w:rFonts w:cs="Arial"/>
              </w:rPr>
              <w:t xml:space="preserve"> after your first contribution is paid</w:t>
            </w:r>
          </w:p>
          <w:p w:rsidR="00E43A04" w:rsidRPr="00545384" w:rsidRDefault="00E43A04" w:rsidP="00E43A04">
            <w:pPr>
              <w:numPr>
                <w:ilvl w:val="0"/>
                <w:numId w:val="1"/>
              </w:numPr>
              <w:rPr>
                <w:rFonts w:cs="Arial"/>
              </w:rPr>
            </w:pPr>
            <w:r w:rsidRPr="00545384">
              <w:rPr>
                <w:rFonts w:cs="Arial"/>
              </w:rPr>
              <w:t>Depending on the length of time before you reach the scheme Normal Retirement Age of 65, your initial contributions will automatically be invested in either one, or a combination of default funds below.</w:t>
            </w:r>
          </w:p>
          <w:p w:rsidR="00E43A04" w:rsidRPr="00545384" w:rsidRDefault="00E43A04" w:rsidP="00E43A04">
            <w:pPr>
              <w:rPr>
                <w:rFonts w:cs="Arial"/>
                <w:b/>
                <w:lang w:val="en-US"/>
              </w:rPr>
            </w:pPr>
            <w:r w:rsidRPr="00545384">
              <w:rPr>
                <w:rFonts w:cs="Arial"/>
                <w:b/>
                <w:lang w:val="en-US"/>
              </w:rPr>
              <w:t>The default option uses 3 different funds to invest your contributions, the actual funds used will depend on your age and length of time from retirement - these changes happen automatically, on a quarterly basis.</w:t>
            </w:r>
          </w:p>
          <w:p w:rsidR="00E43A04" w:rsidRPr="00545384" w:rsidRDefault="00E43A04" w:rsidP="00E43A04">
            <w:pPr>
              <w:rPr>
                <w:rFonts w:cs="Arial"/>
                <w:b/>
                <w:lang w:val="en-US"/>
              </w:rPr>
            </w:pPr>
          </w:p>
          <w:p w:rsidR="00E43A04" w:rsidRPr="00303FFF" w:rsidRDefault="00E43A04" w:rsidP="00E43A04">
            <w:pPr>
              <w:rPr>
                <w:rFonts w:cs="Arial"/>
                <w:b/>
                <w:lang w:val="en-US"/>
              </w:rPr>
            </w:pPr>
            <w:r w:rsidRPr="00545384">
              <w:rPr>
                <w:rFonts w:cs="Arial"/>
                <w:b/>
                <w:lang w:val="en-US"/>
              </w:rPr>
              <w:t xml:space="preserve">Contributions are initially invested in a </w:t>
            </w:r>
            <w:r w:rsidRPr="00545384">
              <w:rPr>
                <w:rFonts w:cs="Arial"/>
                <w:b/>
                <w:u w:val="single"/>
                <w:lang w:val="en-US"/>
              </w:rPr>
              <w:t>passive global equity fund</w:t>
            </w:r>
            <w:r w:rsidRPr="00545384">
              <w:rPr>
                <w:rFonts w:cs="Arial"/>
                <w:b/>
                <w:lang w:val="en-US"/>
              </w:rPr>
              <w:t xml:space="preserve">: </w:t>
            </w:r>
            <w:r w:rsidRPr="00545384">
              <w:rPr>
                <w:rFonts w:cs="Arial"/>
                <w:b/>
                <w:color w:val="0070C0"/>
                <w:lang w:val="en-US"/>
              </w:rPr>
              <w:t>(</w:t>
            </w:r>
            <w:r w:rsidRPr="00545384">
              <w:rPr>
                <w:rFonts w:cs="Arial"/>
                <w:b/>
                <w:color w:val="0070C0"/>
              </w:rPr>
              <w:t>L&amp;G Global Equity Market Weights 30:70 GBP Currency Hedged Fund)</w:t>
            </w:r>
            <w:r w:rsidRPr="00545384">
              <w:rPr>
                <w:rFonts w:cs="Arial"/>
                <w:b/>
                <w:color w:val="0070C0"/>
                <w:lang w:val="en-US"/>
              </w:rPr>
              <w:t>.</w:t>
            </w:r>
          </w:p>
          <w:p w:rsidR="00E43A04" w:rsidRPr="00303FFF" w:rsidRDefault="00E43A04" w:rsidP="00E43A04">
            <w:pPr>
              <w:rPr>
                <w:rFonts w:cs="Arial"/>
                <w:b/>
                <w:lang w:val="en-US"/>
              </w:rPr>
            </w:pPr>
            <w:r w:rsidRPr="00545384">
              <w:rPr>
                <w:rFonts w:cs="Arial"/>
                <w:b/>
                <w:lang w:val="en-US"/>
              </w:rPr>
              <w:lastRenderedPageBreak/>
              <w:t xml:space="preserve">15 years before retirement, your pension pot will be moved, gradually, into a </w:t>
            </w:r>
            <w:r w:rsidRPr="00545384">
              <w:rPr>
                <w:rFonts w:cs="Arial"/>
                <w:b/>
                <w:u w:val="single"/>
                <w:lang w:val="en-US"/>
              </w:rPr>
              <w:t>multi asset fund</w:t>
            </w:r>
            <w:r w:rsidRPr="00545384">
              <w:rPr>
                <w:rFonts w:cs="Arial"/>
                <w:b/>
                <w:lang w:val="en-US"/>
              </w:rPr>
              <w:t xml:space="preserve">: </w:t>
            </w:r>
            <w:r w:rsidRPr="00545384">
              <w:rPr>
                <w:rFonts w:cs="Arial"/>
                <w:b/>
                <w:color w:val="0070C0"/>
                <w:lang w:val="en-US"/>
              </w:rPr>
              <w:t>(L</w:t>
            </w:r>
            <w:r w:rsidRPr="00545384">
              <w:rPr>
                <w:rFonts w:cs="Arial"/>
                <w:b/>
                <w:color w:val="0070C0"/>
              </w:rPr>
              <w:t xml:space="preserve">&amp;G Multi-Asset Fund). </w:t>
            </w:r>
          </w:p>
          <w:p w:rsidR="00E43A04" w:rsidRPr="00303FFF" w:rsidRDefault="00E43A04" w:rsidP="00E43A04">
            <w:pPr>
              <w:rPr>
                <w:rFonts w:cs="Arial"/>
                <w:b/>
                <w:color w:val="76923C"/>
              </w:rPr>
            </w:pPr>
            <w:r w:rsidRPr="00545384">
              <w:rPr>
                <w:rFonts w:cs="Arial"/>
                <w:b/>
              </w:rPr>
              <w:t xml:space="preserve">And in the 3 years before your retirement your pension pot will gradually move to </w:t>
            </w:r>
            <w:proofErr w:type="gramStart"/>
            <w:r w:rsidRPr="00545384">
              <w:rPr>
                <w:rFonts w:cs="Arial"/>
                <w:b/>
                <w:u w:val="single"/>
              </w:rPr>
              <w:t>cash</w:t>
            </w:r>
            <w:r w:rsidRPr="00545384">
              <w:rPr>
                <w:rFonts w:cs="Arial"/>
                <w:b/>
              </w:rPr>
              <w:t xml:space="preserve"> :</w:t>
            </w:r>
            <w:proofErr w:type="gramEnd"/>
            <w:r w:rsidRPr="00545384">
              <w:rPr>
                <w:rFonts w:cs="Arial"/>
                <w:b/>
              </w:rPr>
              <w:t xml:space="preserve"> </w:t>
            </w:r>
            <w:r w:rsidRPr="00545384">
              <w:rPr>
                <w:rFonts w:cs="Arial"/>
                <w:b/>
                <w:color w:val="0070C0"/>
              </w:rPr>
              <w:t>L&amp;G Cash Fund</w:t>
            </w:r>
            <w:r w:rsidRPr="00545384">
              <w:rPr>
                <w:rFonts w:cs="Arial"/>
                <w:b/>
                <w:color w:val="76923C"/>
              </w:rPr>
              <w:t>.</w:t>
            </w:r>
          </w:p>
          <w:p w:rsidR="00E43A04" w:rsidRPr="00545384" w:rsidRDefault="00E43A04" w:rsidP="00E43A04">
            <w:pPr>
              <w:rPr>
                <w:rFonts w:cs="Arial"/>
                <w:b/>
                <w:color w:val="0070C0"/>
                <w:lang w:val="en-US"/>
              </w:rPr>
            </w:pPr>
            <w:r w:rsidRPr="00545384">
              <w:rPr>
                <w:rFonts w:cs="Arial"/>
                <w:b/>
                <w:color w:val="0070C0"/>
                <w:lang w:val="en-US"/>
              </w:rPr>
              <w:t>Please refer to the enclosed Investment Guide for more information on the default option and other investment choices.</w:t>
            </w:r>
          </w:p>
          <w:p w:rsidR="00E43A04" w:rsidRPr="00E43A04" w:rsidRDefault="00E43A04" w:rsidP="00E43A04">
            <w:pPr>
              <w:rPr>
                <w:rFonts w:cs="Arial"/>
                <w:b/>
                <w:color w:val="0070C0"/>
              </w:rPr>
            </w:pPr>
            <w:r w:rsidRPr="00545384">
              <w:rPr>
                <w:rFonts w:cs="Arial"/>
                <w:b/>
                <w:color w:val="0070C0"/>
                <w:lang w:val="en-US"/>
              </w:rPr>
              <w:t xml:space="preserve">The </w:t>
            </w:r>
            <w:r w:rsidRPr="00545384">
              <w:rPr>
                <w:rFonts w:cs="Arial"/>
                <w:b/>
              </w:rPr>
              <w:t xml:space="preserve">Retirement Planner 15 Year CASH </w:t>
            </w:r>
            <w:proofErr w:type="gramStart"/>
            <w:r w:rsidRPr="00545384">
              <w:rPr>
                <w:rFonts w:cs="Arial"/>
                <w:b/>
              </w:rPr>
              <w:t>Lifecycle</w:t>
            </w:r>
            <w:r w:rsidRPr="00545384">
              <w:rPr>
                <w:rFonts w:cs="Arial"/>
                <w:b/>
                <w:color w:val="76923C"/>
              </w:rPr>
              <w:t xml:space="preserve">  </w:t>
            </w:r>
            <w:r w:rsidRPr="00545384">
              <w:rPr>
                <w:rFonts w:cs="Arial"/>
                <w:b/>
                <w:color w:val="0070C0"/>
              </w:rPr>
              <w:t>has</w:t>
            </w:r>
            <w:proofErr w:type="gramEnd"/>
            <w:r w:rsidRPr="00545384">
              <w:rPr>
                <w:rFonts w:cs="Arial"/>
                <w:b/>
                <w:color w:val="0070C0"/>
              </w:rPr>
              <w:t xml:space="preserve"> </w:t>
            </w:r>
            <w:r w:rsidRPr="00545384">
              <w:rPr>
                <w:rFonts w:cs="Arial"/>
                <w:b/>
                <w:color w:val="0070C0"/>
                <w:lang w:val="en-US"/>
              </w:rPr>
              <w:t>an overall fund charge of between 0.44% and 0.40% a year.</w:t>
            </w:r>
          </w:p>
        </w:tc>
      </w:tr>
    </w:tbl>
    <w:p w:rsidR="00E43A04" w:rsidRDefault="00E43A04" w:rsidP="00E43A04"/>
    <w:tbl>
      <w:tblPr>
        <w:tblStyle w:val="TableGrid"/>
        <w:tblW w:w="0" w:type="auto"/>
        <w:shd w:val="clear" w:color="auto" w:fill="F2F2F2" w:themeFill="background1" w:themeFillShade="F2"/>
        <w:tblLook w:val="04A0" w:firstRow="1" w:lastRow="0" w:firstColumn="1" w:lastColumn="0" w:noHBand="0" w:noVBand="1"/>
      </w:tblPr>
      <w:tblGrid>
        <w:gridCol w:w="9747"/>
      </w:tblGrid>
      <w:tr w:rsidR="00E43A04" w:rsidTr="00E43A04">
        <w:tc>
          <w:tcPr>
            <w:tcW w:w="9747" w:type="dxa"/>
            <w:shd w:val="clear" w:color="auto" w:fill="F2F2F2" w:themeFill="background1" w:themeFillShade="F2"/>
          </w:tcPr>
          <w:p w:rsidR="00E43A04" w:rsidRPr="00303FFF" w:rsidRDefault="00E43A04" w:rsidP="00E43A04">
            <w:pPr>
              <w:jc w:val="both"/>
              <w:rPr>
                <w:rFonts w:cs="Arial"/>
              </w:rPr>
            </w:pPr>
            <w:r w:rsidRPr="00545384">
              <w:rPr>
                <w:rFonts w:cs="Arial"/>
                <w:b/>
              </w:rPr>
              <w:t>What to do now?</w:t>
            </w:r>
            <w:r w:rsidRPr="00545384">
              <w:rPr>
                <w:rFonts w:cs="Arial"/>
              </w:rPr>
              <w:t xml:space="preserve"> </w:t>
            </w:r>
          </w:p>
          <w:p w:rsidR="00E43A04" w:rsidRPr="00545384" w:rsidRDefault="00E43A04" w:rsidP="00E43A04">
            <w:pPr>
              <w:numPr>
                <w:ilvl w:val="0"/>
                <w:numId w:val="2"/>
              </w:numPr>
              <w:jc w:val="both"/>
              <w:rPr>
                <w:rFonts w:cs="Arial"/>
              </w:rPr>
            </w:pPr>
            <w:r w:rsidRPr="00545384">
              <w:rPr>
                <w:rFonts w:cs="Arial"/>
              </w:rPr>
              <w:t xml:space="preserve">Review the </w:t>
            </w:r>
            <w:r w:rsidRPr="00545384">
              <w:rPr>
                <w:rFonts w:cs="Arial"/>
                <w:color w:val="0070C0"/>
              </w:rPr>
              <w:t>S</w:t>
            </w:r>
            <w:r w:rsidRPr="00545384">
              <w:rPr>
                <w:rFonts w:cs="Arial"/>
                <w:b/>
                <w:color w:val="0070C0"/>
              </w:rPr>
              <w:t>cheme booklet</w:t>
            </w:r>
            <w:r w:rsidRPr="00545384">
              <w:rPr>
                <w:rFonts w:cs="Arial"/>
              </w:rPr>
              <w:t xml:space="preserve"> and </w:t>
            </w:r>
            <w:r w:rsidRPr="00545384">
              <w:rPr>
                <w:rFonts w:cs="Arial"/>
                <w:b/>
                <w:color w:val="0070C0"/>
              </w:rPr>
              <w:t>Investment guide</w:t>
            </w:r>
            <w:r w:rsidRPr="00545384">
              <w:rPr>
                <w:rFonts w:cs="Arial"/>
              </w:rPr>
              <w:t>.</w:t>
            </w:r>
          </w:p>
          <w:p w:rsidR="00E43A04" w:rsidRPr="00545384" w:rsidRDefault="00E43A04" w:rsidP="00E43A04">
            <w:pPr>
              <w:numPr>
                <w:ilvl w:val="0"/>
                <w:numId w:val="2"/>
              </w:numPr>
              <w:jc w:val="both"/>
              <w:rPr>
                <w:rFonts w:cs="Arial"/>
                <w:b/>
              </w:rPr>
            </w:pPr>
            <w:r w:rsidRPr="00545384">
              <w:rPr>
                <w:rFonts w:cs="Arial"/>
              </w:rPr>
              <w:t xml:space="preserve">Please complete and return the </w:t>
            </w:r>
            <w:r w:rsidRPr="00545384">
              <w:rPr>
                <w:rFonts w:cs="Arial"/>
                <w:b/>
                <w:color w:val="0070C0"/>
              </w:rPr>
              <w:t>Expression of Wish form</w:t>
            </w:r>
          </w:p>
          <w:p w:rsidR="00E43A04" w:rsidRPr="00545384" w:rsidRDefault="00E43A04" w:rsidP="00E43A04">
            <w:pPr>
              <w:numPr>
                <w:ilvl w:val="0"/>
                <w:numId w:val="2"/>
              </w:numPr>
              <w:jc w:val="both"/>
              <w:rPr>
                <w:rFonts w:cs="Arial"/>
                <w:b/>
              </w:rPr>
            </w:pPr>
            <w:r w:rsidRPr="00545384">
              <w:rPr>
                <w:rFonts w:cs="Arial"/>
              </w:rPr>
              <w:t xml:space="preserve">Complete and return the </w:t>
            </w:r>
            <w:r w:rsidRPr="00545384">
              <w:rPr>
                <w:rFonts w:cs="Arial"/>
                <w:b/>
                <w:color w:val="0070C0"/>
              </w:rPr>
              <w:t>Increase in Contribution form</w:t>
            </w:r>
            <w:r w:rsidRPr="00545384">
              <w:rPr>
                <w:rFonts w:cs="Arial"/>
              </w:rPr>
              <w:t xml:space="preserve"> </w:t>
            </w:r>
            <w:r w:rsidRPr="00545384">
              <w:rPr>
                <w:rFonts w:cs="Arial"/>
                <w:b/>
              </w:rPr>
              <w:t>only if</w:t>
            </w:r>
            <w:r w:rsidRPr="00545384">
              <w:rPr>
                <w:rFonts w:cs="Arial"/>
              </w:rPr>
              <w:t xml:space="preserve"> you want to increase your contributions  to the </w:t>
            </w:r>
            <w:r w:rsidRPr="00545384">
              <w:rPr>
                <w:rFonts w:cs="Arial"/>
                <w:b/>
                <w:color w:val="0070C0"/>
              </w:rPr>
              <w:t>Standard level - 5%</w:t>
            </w:r>
            <w:r w:rsidRPr="00545384">
              <w:rPr>
                <w:rFonts w:cs="Arial"/>
              </w:rPr>
              <w:t xml:space="preserve"> </w:t>
            </w:r>
          </w:p>
          <w:p w:rsidR="00E43A04" w:rsidRPr="00545384" w:rsidRDefault="00E43A04" w:rsidP="00E43A04">
            <w:pPr>
              <w:numPr>
                <w:ilvl w:val="0"/>
                <w:numId w:val="2"/>
              </w:numPr>
              <w:jc w:val="both"/>
              <w:rPr>
                <w:rFonts w:cs="Arial"/>
              </w:rPr>
            </w:pPr>
            <w:r w:rsidRPr="00545384">
              <w:rPr>
                <w:rFonts w:cs="Arial"/>
              </w:rPr>
              <w:t xml:space="preserve">Complete and return the </w:t>
            </w:r>
            <w:r w:rsidRPr="00545384">
              <w:rPr>
                <w:rFonts w:cs="Arial"/>
                <w:b/>
                <w:color w:val="0070C0"/>
              </w:rPr>
              <w:t>Switch form</w:t>
            </w:r>
            <w:r w:rsidRPr="00545384">
              <w:rPr>
                <w:rFonts w:cs="Arial"/>
              </w:rPr>
              <w:t xml:space="preserve"> </w:t>
            </w:r>
            <w:r w:rsidRPr="00545384">
              <w:rPr>
                <w:rFonts w:cs="Arial"/>
                <w:b/>
              </w:rPr>
              <w:t>only if</w:t>
            </w:r>
            <w:r w:rsidRPr="00545384">
              <w:rPr>
                <w:rFonts w:cs="Arial"/>
              </w:rPr>
              <w:t xml:space="preserve"> you wish to switch your investments out of the default option and into other funds of your choosing.  </w:t>
            </w:r>
          </w:p>
          <w:p w:rsidR="00E43A04" w:rsidRPr="00545384" w:rsidRDefault="00E43A04" w:rsidP="00E43A04">
            <w:pPr>
              <w:numPr>
                <w:ilvl w:val="0"/>
                <w:numId w:val="2"/>
              </w:numPr>
              <w:jc w:val="both"/>
              <w:rPr>
                <w:rFonts w:cs="Arial"/>
                <w:b/>
                <w:color w:val="0070C0"/>
              </w:rPr>
            </w:pPr>
            <w:r w:rsidRPr="00545384">
              <w:rPr>
                <w:rFonts w:cs="Arial"/>
              </w:rPr>
              <w:t xml:space="preserve">Complete and return the </w:t>
            </w:r>
            <w:r w:rsidRPr="00545384">
              <w:rPr>
                <w:rFonts w:cs="Arial"/>
                <w:b/>
                <w:color w:val="0070C0"/>
              </w:rPr>
              <w:t>Additional Voluntary Contribution AVC form</w:t>
            </w:r>
            <w:r w:rsidRPr="00545384">
              <w:rPr>
                <w:rFonts w:cs="Arial"/>
                <w:b/>
              </w:rPr>
              <w:t xml:space="preserve"> only if</w:t>
            </w:r>
            <w:r w:rsidRPr="00545384">
              <w:rPr>
                <w:rFonts w:cs="Arial"/>
              </w:rPr>
              <w:t xml:space="preserve"> you would like to pay contributions above the </w:t>
            </w:r>
            <w:r w:rsidRPr="00545384">
              <w:rPr>
                <w:rFonts w:cs="Arial"/>
                <w:b/>
                <w:color w:val="0070C0"/>
              </w:rPr>
              <w:t>Standard level – 5%</w:t>
            </w:r>
          </w:p>
          <w:p w:rsidR="00E43A04" w:rsidRPr="00545384" w:rsidRDefault="00E43A04" w:rsidP="00E43A04">
            <w:pPr>
              <w:numPr>
                <w:ilvl w:val="0"/>
                <w:numId w:val="3"/>
              </w:numPr>
              <w:rPr>
                <w:rFonts w:cs="Arial"/>
              </w:rPr>
            </w:pPr>
            <w:r w:rsidRPr="00545384">
              <w:rPr>
                <w:rFonts w:cs="Arial"/>
              </w:rPr>
              <w:t xml:space="preserve">Register online </w:t>
            </w:r>
            <w:proofErr w:type="gramStart"/>
            <w:r w:rsidRPr="00545384">
              <w:rPr>
                <w:rFonts w:eastAsia="Calibri" w:cs="Arial"/>
                <w:b/>
                <w:color w:val="0000FF"/>
                <w:u w:val="single"/>
              </w:rPr>
              <w:t xml:space="preserve">http://www.legalandgeneral.com/wessexwater </w:t>
            </w:r>
            <w:r w:rsidRPr="00545384">
              <w:rPr>
                <w:rFonts w:cs="Arial"/>
              </w:rPr>
              <w:t xml:space="preserve"> to</w:t>
            </w:r>
            <w:proofErr w:type="gramEnd"/>
            <w:r w:rsidRPr="00545384">
              <w:rPr>
                <w:rFonts w:cs="Arial"/>
              </w:rPr>
              <w:t xml:space="preserve"> review and manage your pension pot</w:t>
            </w:r>
            <w:r w:rsidR="0031690D">
              <w:rPr>
                <w:rFonts w:cs="Arial"/>
              </w:rPr>
              <w:t xml:space="preserve"> </w:t>
            </w:r>
            <w:r w:rsidRPr="00545384">
              <w:rPr>
                <w:rFonts w:cs="Arial"/>
              </w:rPr>
              <w:t xml:space="preserve">when convenient for you. </w:t>
            </w:r>
          </w:p>
          <w:p w:rsidR="00E43A04" w:rsidRPr="00545384" w:rsidRDefault="00E43A04" w:rsidP="00E43A04">
            <w:pPr>
              <w:jc w:val="both"/>
              <w:rPr>
                <w:rFonts w:cs="Arial"/>
              </w:rPr>
            </w:pPr>
          </w:p>
          <w:p w:rsidR="00E43A04" w:rsidRDefault="00E43A04" w:rsidP="00E43A04">
            <w:pPr>
              <w:jc w:val="both"/>
              <w:rPr>
                <w:rFonts w:cs="Arial"/>
              </w:rPr>
            </w:pPr>
            <w:r w:rsidRPr="00545384">
              <w:rPr>
                <w:rFonts w:cs="Arial"/>
              </w:rPr>
              <w:t xml:space="preserve">The </w:t>
            </w:r>
            <w:proofErr w:type="gramStart"/>
            <w:r w:rsidRPr="00545384">
              <w:rPr>
                <w:rFonts w:cs="Arial"/>
              </w:rPr>
              <w:t>pensions  team</w:t>
            </w:r>
            <w:proofErr w:type="gramEnd"/>
            <w:r w:rsidRPr="00545384">
              <w:rPr>
                <w:rFonts w:cs="Arial"/>
              </w:rPr>
              <w:t xml:space="preserve"> will provide Legal &amp; General with your personal details in order for a pension record to be opened for you and for your contributions to be invested.</w:t>
            </w:r>
          </w:p>
          <w:p w:rsidR="0031690D" w:rsidRDefault="0031690D" w:rsidP="00E43A04">
            <w:pPr>
              <w:jc w:val="both"/>
              <w:rPr>
                <w:rFonts w:cs="Arial"/>
              </w:rPr>
            </w:pPr>
          </w:p>
          <w:p w:rsidR="0031690D" w:rsidRDefault="0031690D" w:rsidP="00E43A04">
            <w:pPr>
              <w:jc w:val="both"/>
              <w:rPr>
                <w:rFonts w:cs="Arial"/>
                <w:b/>
                <w:u w:val="single"/>
              </w:rPr>
            </w:pPr>
            <w:r w:rsidRPr="0031690D">
              <w:rPr>
                <w:rFonts w:cs="Arial"/>
                <w:b/>
                <w:u w:val="single"/>
              </w:rPr>
              <w:t>Data Protection Act 1998</w:t>
            </w:r>
          </w:p>
          <w:p w:rsidR="0031690D" w:rsidRDefault="0031690D" w:rsidP="00E43A04">
            <w:pPr>
              <w:jc w:val="both"/>
              <w:rPr>
                <w:rFonts w:cs="Arial"/>
                <w:b/>
                <w:u w:val="single"/>
              </w:rPr>
            </w:pPr>
          </w:p>
          <w:p w:rsidR="0031690D" w:rsidRPr="0031690D" w:rsidRDefault="0031690D" w:rsidP="00E43A04">
            <w:pPr>
              <w:jc w:val="both"/>
              <w:rPr>
                <w:rFonts w:cs="Arial"/>
              </w:rPr>
            </w:pPr>
            <w:r w:rsidRPr="0031690D">
              <w:rPr>
                <w:rFonts w:cs="Arial"/>
              </w:rPr>
              <w:t>For the p</w:t>
            </w:r>
            <w:r>
              <w:rPr>
                <w:rFonts w:cs="Arial"/>
              </w:rPr>
              <w:t>urposes of the Data Protection Act 1998,</w:t>
            </w:r>
            <w:r w:rsidR="007078FF">
              <w:rPr>
                <w:rFonts w:cs="Arial"/>
              </w:rPr>
              <w:t xml:space="preserve"> by joining the scheme you </w:t>
            </w:r>
            <w:r>
              <w:rPr>
                <w:rFonts w:cs="Arial"/>
              </w:rPr>
              <w:t xml:space="preserve">give </w:t>
            </w:r>
            <w:r w:rsidR="007078FF">
              <w:rPr>
                <w:rFonts w:cs="Arial"/>
              </w:rPr>
              <w:t>your</w:t>
            </w:r>
            <w:r>
              <w:rPr>
                <w:rFonts w:cs="Arial"/>
              </w:rPr>
              <w:t xml:space="preserve"> consent for the processing of </w:t>
            </w:r>
            <w:r w:rsidR="007078FF">
              <w:rPr>
                <w:rFonts w:cs="Arial"/>
              </w:rPr>
              <w:t>your</w:t>
            </w:r>
            <w:r>
              <w:rPr>
                <w:rFonts w:cs="Arial"/>
              </w:rPr>
              <w:t xml:space="preserve"> personal data by the trustee, the Pensions team and Legal &amp; General (as data controllers) for the purpose of </w:t>
            </w:r>
            <w:r w:rsidR="007078FF">
              <w:rPr>
                <w:rFonts w:cs="Arial"/>
              </w:rPr>
              <w:t>your</w:t>
            </w:r>
            <w:r>
              <w:rPr>
                <w:rFonts w:cs="Arial"/>
              </w:rPr>
              <w:t xml:space="preserve"> scheme membership.</w:t>
            </w:r>
          </w:p>
          <w:p w:rsidR="00E43A04" w:rsidRPr="00545384" w:rsidRDefault="00E43A04" w:rsidP="00E43A04">
            <w:pPr>
              <w:jc w:val="both"/>
              <w:rPr>
                <w:rFonts w:cs="Arial"/>
              </w:rPr>
            </w:pPr>
          </w:p>
          <w:p w:rsidR="00E43A04" w:rsidRPr="00545384" w:rsidRDefault="00E43A04" w:rsidP="00E43A04">
            <w:pPr>
              <w:jc w:val="both"/>
              <w:rPr>
                <w:rFonts w:cs="Arial"/>
              </w:rPr>
            </w:pPr>
            <w:r w:rsidRPr="00545384">
              <w:rPr>
                <w:rFonts w:cs="Arial"/>
              </w:rPr>
              <w:t xml:space="preserve">If you have any queries </w:t>
            </w:r>
            <w:r w:rsidR="007078FF">
              <w:rPr>
                <w:rFonts w:cs="Arial"/>
              </w:rPr>
              <w:t>t</w:t>
            </w:r>
            <w:r w:rsidRPr="00545384">
              <w:rPr>
                <w:rFonts w:cs="Arial"/>
              </w:rPr>
              <w:t>he Pensions team will be happy to help.</w:t>
            </w:r>
          </w:p>
          <w:p w:rsidR="00E43A04" w:rsidRPr="00545384" w:rsidRDefault="00E43A04" w:rsidP="00E43A04">
            <w:pPr>
              <w:rPr>
                <w:rFonts w:cs="Arial"/>
              </w:rPr>
            </w:pPr>
          </w:p>
          <w:p w:rsidR="00E43A04" w:rsidRPr="00545384" w:rsidRDefault="00E43A04" w:rsidP="00E43A04">
            <w:pPr>
              <w:ind w:firstLine="720"/>
              <w:jc w:val="center"/>
              <w:rPr>
                <w:rFonts w:cs="Arial"/>
                <w:b/>
              </w:rPr>
            </w:pPr>
            <w:r w:rsidRPr="00545384">
              <w:rPr>
                <w:rFonts w:cs="Arial"/>
                <w:b/>
              </w:rPr>
              <w:t xml:space="preserve">Ali Standerwick (pensions and reward manager)    </w:t>
            </w:r>
            <w:r w:rsidRPr="00545384">
              <w:rPr>
                <w:rFonts w:cs="Arial"/>
                <w:b/>
              </w:rPr>
              <w:tab/>
              <w:t>01225 526117</w:t>
            </w:r>
          </w:p>
          <w:p w:rsidR="00E43A04" w:rsidRPr="00545384" w:rsidRDefault="00E43A04" w:rsidP="00E43A04">
            <w:pPr>
              <w:ind w:firstLine="720"/>
              <w:jc w:val="center"/>
              <w:rPr>
                <w:rFonts w:cs="Arial"/>
                <w:b/>
              </w:rPr>
            </w:pPr>
            <w:r w:rsidRPr="00545384">
              <w:rPr>
                <w:rFonts w:cs="Arial"/>
                <w:b/>
              </w:rPr>
              <w:t xml:space="preserve">Lyn Sliney (pensions support manager)          </w:t>
            </w:r>
            <w:r w:rsidRPr="00545384">
              <w:rPr>
                <w:rFonts w:cs="Arial"/>
                <w:b/>
              </w:rPr>
              <w:tab/>
            </w:r>
            <w:r w:rsidRPr="00545384">
              <w:rPr>
                <w:rFonts w:cs="Arial"/>
                <w:b/>
              </w:rPr>
              <w:tab/>
              <w:t>01225 526115</w:t>
            </w:r>
          </w:p>
          <w:p w:rsidR="00E43A04" w:rsidRPr="00545384" w:rsidRDefault="00E43A04" w:rsidP="00E43A04">
            <w:pPr>
              <w:ind w:firstLine="720"/>
              <w:jc w:val="center"/>
              <w:rPr>
                <w:rFonts w:cs="Arial"/>
                <w:b/>
              </w:rPr>
            </w:pPr>
            <w:bookmarkStart w:id="0" w:name="_Hlk513548194"/>
            <w:r w:rsidRPr="00545384">
              <w:rPr>
                <w:rFonts w:cs="Arial"/>
                <w:b/>
              </w:rPr>
              <w:t xml:space="preserve">Ryan Dorrington (pensions administrator)  </w:t>
            </w:r>
            <w:r w:rsidRPr="00545384">
              <w:rPr>
                <w:rFonts w:cs="Arial"/>
                <w:b/>
              </w:rPr>
              <w:tab/>
              <w:t xml:space="preserve">    </w:t>
            </w:r>
            <w:r w:rsidRPr="00545384">
              <w:rPr>
                <w:rFonts w:cs="Arial"/>
                <w:b/>
              </w:rPr>
              <w:tab/>
              <w:t>01225 526609</w:t>
            </w:r>
          </w:p>
          <w:bookmarkEnd w:id="0"/>
          <w:p w:rsidR="00E43A04" w:rsidRPr="00F0037F" w:rsidRDefault="00E43A04" w:rsidP="00F0037F">
            <w:pPr>
              <w:ind w:left="2160"/>
              <w:rPr>
                <w:rFonts w:cs="Arial"/>
                <w:b/>
              </w:rPr>
            </w:pPr>
            <w:r w:rsidRPr="00545384">
              <w:rPr>
                <w:rFonts w:cs="Arial"/>
                <w:b/>
              </w:rPr>
              <w:t xml:space="preserve">               e-mail:  pensions@wessexwater.co.uk</w:t>
            </w:r>
          </w:p>
        </w:tc>
      </w:tr>
    </w:tbl>
    <w:p w:rsidR="00E43A04" w:rsidRDefault="00E43A04" w:rsidP="00E43A04">
      <w:pPr>
        <w:jc w:val="both"/>
        <w:rPr>
          <w:rFonts w:cs="Arial"/>
        </w:rPr>
      </w:pPr>
    </w:p>
    <w:p w:rsidR="00E43A04" w:rsidRPr="00545384" w:rsidRDefault="00E43A04" w:rsidP="00E43A04">
      <w:pPr>
        <w:jc w:val="both"/>
        <w:rPr>
          <w:rFonts w:cs="Arial"/>
        </w:rPr>
      </w:pPr>
      <w:r w:rsidRPr="00545384">
        <w:rPr>
          <w:rFonts w:cs="Arial"/>
        </w:rPr>
        <w:t xml:space="preserve">The investment information provides general details of the funds available. The trustees recommend that you seek advice from an independent financial adviser. Please note that the trustees are not liable in any way for the investment decisions you make (or fail to make).  They will review the range of funds available and take advice for this purpose.  However, you are exclusively responsible for the investment decisions you make for the investment of your personal account.  The trustees cannot give you investment advice. </w:t>
      </w:r>
    </w:p>
    <w:p w:rsidR="00E43A04" w:rsidRPr="00545384" w:rsidRDefault="00E43A04" w:rsidP="00E43A04">
      <w:pPr>
        <w:jc w:val="both"/>
        <w:rPr>
          <w:rFonts w:cs="Arial"/>
        </w:rPr>
      </w:pPr>
      <w:r w:rsidRPr="00545384">
        <w:rPr>
          <w:rFonts w:cs="Arial"/>
          <w:b/>
        </w:rPr>
        <w:t xml:space="preserve">IFA Promotions can provide details of independent financial advisers in your area </w:t>
      </w:r>
      <w:hyperlink r:id="rId9" w:history="1">
        <w:r w:rsidRPr="00545384">
          <w:rPr>
            <w:rStyle w:val="Hyperlink"/>
            <w:rFonts w:cs="Arial"/>
            <w:b/>
          </w:rPr>
          <w:t>www.unbiased.co.uk</w:t>
        </w:r>
      </w:hyperlink>
    </w:p>
    <w:p w:rsidR="00E43A04" w:rsidRPr="00545384" w:rsidRDefault="00E43A04" w:rsidP="00E43A04">
      <w:pPr>
        <w:jc w:val="both"/>
        <w:rPr>
          <w:rFonts w:cs="Arial"/>
          <w:b/>
          <w:color w:val="00B050"/>
        </w:rPr>
      </w:pPr>
      <w:r w:rsidRPr="00545384">
        <w:rPr>
          <w:rFonts w:cs="Arial"/>
          <w:b/>
          <w:color w:val="00B050"/>
        </w:rPr>
        <w:t>Final points to consider &amp; remember:</w:t>
      </w:r>
    </w:p>
    <w:p w:rsidR="00E43A04" w:rsidRPr="00545384" w:rsidRDefault="00E43A04" w:rsidP="00E43A04">
      <w:pPr>
        <w:numPr>
          <w:ilvl w:val="0"/>
          <w:numId w:val="4"/>
        </w:numPr>
        <w:spacing w:after="0" w:line="240" w:lineRule="auto"/>
        <w:jc w:val="both"/>
        <w:rPr>
          <w:rFonts w:cs="Arial"/>
          <w:b/>
          <w:bCs/>
          <w:color w:val="00B050"/>
        </w:rPr>
      </w:pPr>
      <w:r w:rsidRPr="00545384">
        <w:rPr>
          <w:rFonts w:cs="Arial"/>
          <w:b/>
          <w:bCs/>
          <w:color w:val="00B050"/>
        </w:rPr>
        <w:t xml:space="preserve">The Default Investment Option; </w:t>
      </w:r>
      <w:r w:rsidRPr="00545384">
        <w:rPr>
          <w:rFonts w:cs="Arial"/>
          <w:b/>
          <w:bCs/>
          <w:color w:val="0070C0"/>
        </w:rPr>
        <w:t>the Retirement Planner 15 Year CASH Lifecycle,</w:t>
      </w:r>
      <w:r w:rsidRPr="00545384">
        <w:rPr>
          <w:rFonts w:cs="Arial"/>
          <w:b/>
          <w:bCs/>
          <w:color w:val="00B050"/>
        </w:rPr>
        <w:t xml:space="preserve"> targets your pension savings to be 100% in cash at </w:t>
      </w:r>
      <w:proofErr w:type="gramStart"/>
      <w:r w:rsidRPr="00545384">
        <w:rPr>
          <w:rFonts w:cs="Arial"/>
          <w:b/>
          <w:bCs/>
          <w:color w:val="00B050"/>
        </w:rPr>
        <w:t>retirement ,</w:t>
      </w:r>
      <w:proofErr w:type="gramEnd"/>
      <w:r w:rsidRPr="00545384">
        <w:rPr>
          <w:rFonts w:cs="Arial"/>
          <w:b/>
          <w:bCs/>
          <w:color w:val="00B050"/>
        </w:rPr>
        <w:t xml:space="preserve"> this may not be right for everyone. You must be comfortable that this strategy is in line with your retirement plans and if your plans change, you’ll need to consider whether this is still the right option for you. And you must also remember that only the first 25% of your retirement savings can be taken tax free, even if you take it all as cash – the rest will be subject to income tax.</w:t>
      </w:r>
    </w:p>
    <w:p w:rsidR="00E43A04" w:rsidRDefault="00E43A04" w:rsidP="00E43A04">
      <w:pPr>
        <w:numPr>
          <w:ilvl w:val="0"/>
          <w:numId w:val="4"/>
        </w:numPr>
        <w:spacing w:after="0" w:line="240" w:lineRule="auto"/>
        <w:jc w:val="both"/>
        <w:rPr>
          <w:rFonts w:cs="Arial"/>
          <w:b/>
          <w:color w:val="00B050"/>
        </w:rPr>
      </w:pPr>
      <w:r w:rsidRPr="00545384">
        <w:rPr>
          <w:rFonts w:cs="Arial"/>
          <w:b/>
          <w:color w:val="00B050"/>
        </w:rPr>
        <w:t xml:space="preserve">You should consider whether age 65 is appropriate for your retirement plans - you are able to select an alternative retirement age should you wish. Please advise the </w:t>
      </w:r>
      <w:r>
        <w:rPr>
          <w:rFonts w:cs="Arial"/>
          <w:b/>
          <w:color w:val="00B050"/>
        </w:rPr>
        <w:t xml:space="preserve">pensions team by email </w:t>
      </w:r>
      <w:hyperlink r:id="rId10" w:history="1">
        <w:r w:rsidRPr="001E375D">
          <w:rPr>
            <w:rStyle w:val="Hyperlink"/>
            <w:rFonts w:cs="Arial"/>
            <w:b/>
          </w:rPr>
          <w:t>pensions@wessexwater.co.uk</w:t>
        </w:r>
      </w:hyperlink>
      <w:r>
        <w:rPr>
          <w:rFonts w:cs="Arial"/>
          <w:b/>
          <w:color w:val="00B050"/>
        </w:rPr>
        <w:t xml:space="preserve"> </w:t>
      </w:r>
    </w:p>
    <w:p w:rsidR="00E43A04" w:rsidRDefault="00E43A04" w:rsidP="00E43A04">
      <w:bookmarkStart w:id="1" w:name="_GoBack"/>
      <w:bookmarkEnd w:id="1"/>
    </w:p>
    <w:tbl>
      <w:tblPr>
        <w:tblStyle w:val="TableGrid"/>
        <w:tblW w:w="0" w:type="auto"/>
        <w:shd w:val="clear" w:color="auto" w:fill="D9E2F3" w:themeFill="accent5" w:themeFillTint="33"/>
        <w:tblLook w:val="04A0" w:firstRow="1" w:lastRow="0" w:firstColumn="1" w:lastColumn="0" w:noHBand="0" w:noVBand="1"/>
      </w:tblPr>
      <w:tblGrid>
        <w:gridCol w:w="9747"/>
      </w:tblGrid>
      <w:tr w:rsidR="00E43A04" w:rsidTr="00E43A04">
        <w:tc>
          <w:tcPr>
            <w:tcW w:w="9747" w:type="dxa"/>
            <w:shd w:val="clear" w:color="auto" w:fill="D9E2F3" w:themeFill="accent5" w:themeFillTint="33"/>
          </w:tcPr>
          <w:p w:rsidR="00E43A04" w:rsidRPr="00E43A04" w:rsidRDefault="00E43A04" w:rsidP="00E43A04">
            <w:pPr>
              <w:rPr>
                <w:rFonts w:cs="Arial"/>
                <w:b/>
                <w:sz w:val="21"/>
                <w:szCs w:val="21"/>
              </w:rPr>
            </w:pPr>
            <w:r w:rsidRPr="00E43A04">
              <w:rPr>
                <w:rFonts w:cs="Arial"/>
                <w:b/>
                <w:sz w:val="21"/>
                <w:szCs w:val="21"/>
              </w:rPr>
              <w:t xml:space="preserve">You </w:t>
            </w:r>
            <w:proofErr w:type="gramStart"/>
            <w:r w:rsidRPr="00E43A04">
              <w:rPr>
                <w:rFonts w:cs="Arial"/>
                <w:b/>
                <w:sz w:val="21"/>
                <w:szCs w:val="21"/>
              </w:rPr>
              <w:t>are able to</w:t>
            </w:r>
            <w:proofErr w:type="gramEnd"/>
            <w:r w:rsidRPr="00E43A04">
              <w:rPr>
                <w:rFonts w:cs="Arial"/>
                <w:b/>
                <w:sz w:val="21"/>
                <w:szCs w:val="21"/>
              </w:rPr>
              <w:t xml:space="preserve"> opt out of the scheme please contact the pensions team for more information.</w:t>
            </w:r>
          </w:p>
          <w:p w:rsidR="00E43A04" w:rsidRPr="00E43A04" w:rsidRDefault="00E43A04" w:rsidP="00F0037F">
            <w:pPr>
              <w:jc w:val="center"/>
              <w:rPr>
                <w:sz w:val="21"/>
                <w:szCs w:val="21"/>
              </w:rPr>
            </w:pPr>
            <w:r w:rsidRPr="00E43A04">
              <w:rPr>
                <w:rFonts w:cs="Arial"/>
                <w:b/>
                <w:sz w:val="21"/>
                <w:szCs w:val="21"/>
              </w:rPr>
              <w:t>Please note, a refund of your contributions will only be possible if you opt out within 30 days of joining the scheme.</w:t>
            </w:r>
          </w:p>
        </w:tc>
      </w:tr>
    </w:tbl>
    <w:p w:rsidR="00E43A04" w:rsidRPr="00E65D9A" w:rsidRDefault="00E43A04" w:rsidP="00E43A04"/>
    <w:sectPr w:rsidR="00E43A04" w:rsidRPr="00E65D9A" w:rsidSect="00E43A04">
      <w:headerReference w:type="default" r:id="rId11"/>
      <w:pgSz w:w="11906" w:h="16838"/>
      <w:pgMar w:top="284" w:right="1440"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144" w:rsidRDefault="00DA4144" w:rsidP="00E43A04">
      <w:pPr>
        <w:spacing w:after="0" w:line="240" w:lineRule="auto"/>
      </w:pPr>
      <w:r>
        <w:separator/>
      </w:r>
    </w:p>
  </w:endnote>
  <w:endnote w:type="continuationSeparator" w:id="0">
    <w:p w:rsidR="00DA4144" w:rsidRDefault="00DA4144" w:rsidP="00E4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144" w:rsidRDefault="00DA4144" w:rsidP="00E43A04">
      <w:pPr>
        <w:spacing w:after="0" w:line="240" w:lineRule="auto"/>
      </w:pPr>
      <w:r>
        <w:separator/>
      </w:r>
    </w:p>
  </w:footnote>
  <w:footnote w:type="continuationSeparator" w:id="0">
    <w:p w:rsidR="00DA4144" w:rsidRDefault="00DA4144" w:rsidP="00E43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FFF" w:rsidRDefault="00303FFF" w:rsidP="0010032D">
    <w:pPr>
      <w:rPr>
        <w:rFonts w:ascii="Calibri" w:eastAsia="Times New Roman" w:hAnsi="Calibri"/>
        <w:noProof/>
        <w:sz w:val="16"/>
        <w:szCs w:val="16"/>
      </w:rPr>
    </w:pPr>
  </w:p>
  <w:p w:rsidR="0010032D" w:rsidRPr="0010032D" w:rsidRDefault="0010032D" w:rsidP="0010032D">
    <w:pPr>
      <w:rPr>
        <w:b/>
        <w:noProof/>
        <w:lang w:eastAsia="en-GB"/>
      </w:rPr>
    </w:pPr>
    <w:r w:rsidRPr="0010032D">
      <w:rPr>
        <w:b/>
        <w:noProof/>
        <w:lang w:eastAsia="en-GB"/>
      </w:rPr>
      <w:t>Wessex Water Pension Scheme (BWBSL)</w:t>
    </w:r>
  </w:p>
  <w:p w:rsidR="0010032D" w:rsidRPr="00303FFF" w:rsidRDefault="0010032D" w:rsidP="00303FFF">
    <w:pPr>
      <w:tabs>
        <w:tab w:val="left" w:pos="5988"/>
      </w:tabs>
      <w:rPr>
        <w:b/>
        <w:noProof/>
        <w:lang w:eastAsia="en-GB"/>
      </w:rPr>
    </w:pPr>
    <w:r w:rsidRPr="0010032D">
      <w:rPr>
        <w:b/>
        <w:noProof/>
        <w:lang w:eastAsia="en-GB"/>
      </w:rPr>
      <w:t xml:space="preserve">Defined Contribution (DC) Section </w:t>
    </w:r>
    <w:r>
      <w:rPr>
        <w:b/>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52F1"/>
    <w:multiLevelType w:val="hybridMultilevel"/>
    <w:tmpl w:val="B2DAD572"/>
    <w:lvl w:ilvl="0" w:tplc="14B0E18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6A6AF6"/>
    <w:multiLevelType w:val="hybridMultilevel"/>
    <w:tmpl w:val="A8E2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22754"/>
    <w:multiLevelType w:val="hybridMultilevel"/>
    <w:tmpl w:val="32CE5C4A"/>
    <w:lvl w:ilvl="0" w:tplc="0DE45E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86532"/>
    <w:multiLevelType w:val="hybridMultilevel"/>
    <w:tmpl w:val="B9DE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04"/>
    <w:rsid w:val="0004716C"/>
    <w:rsid w:val="00071BF9"/>
    <w:rsid w:val="000A755F"/>
    <w:rsid w:val="0010032D"/>
    <w:rsid w:val="001B38B5"/>
    <w:rsid w:val="00303FFF"/>
    <w:rsid w:val="0031690D"/>
    <w:rsid w:val="00402B63"/>
    <w:rsid w:val="006325DB"/>
    <w:rsid w:val="007078FF"/>
    <w:rsid w:val="00C530C1"/>
    <w:rsid w:val="00DA4144"/>
    <w:rsid w:val="00E0195A"/>
    <w:rsid w:val="00E43A04"/>
    <w:rsid w:val="00E65D9A"/>
    <w:rsid w:val="00F0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62AB67"/>
  <w15:chartTrackingRefBased/>
  <w15:docId w15:val="{BB9E3785-3A35-43B0-B410-3DEE89A4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3A04"/>
    <w:pPr>
      <w:spacing w:after="0" w:line="240" w:lineRule="auto"/>
    </w:pPr>
  </w:style>
  <w:style w:type="paragraph" w:styleId="ListParagraph">
    <w:name w:val="List Paragraph"/>
    <w:basedOn w:val="Normal"/>
    <w:uiPriority w:val="34"/>
    <w:qFormat/>
    <w:rsid w:val="00E43A04"/>
    <w:pPr>
      <w:spacing w:after="0" w:line="240" w:lineRule="auto"/>
      <w:ind w:left="720"/>
    </w:pPr>
    <w:rPr>
      <w:rFonts w:ascii="Times New Roman" w:eastAsia="Times New Roman" w:hAnsi="Times New Roman" w:cs="Times New Roman"/>
      <w:sz w:val="24"/>
      <w:szCs w:val="24"/>
    </w:rPr>
  </w:style>
  <w:style w:type="character" w:styleId="Hyperlink">
    <w:name w:val="Hyperlink"/>
    <w:rsid w:val="00E43A04"/>
    <w:rPr>
      <w:color w:val="0000FF"/>
      <w:u w:val="single"/>
    </w:rPr>
  </w:style>
  <w:style w:type="paragraph" w:styleId="Header">
    <w:name w:val="header"/>
    <w:basedOn w:val="Normal"/>
    <w:link w:val="HeaderChar"/>
    <w:uiPriority w:val="99"/>
    <w:unhideWhenUsed/>
    <w:rsid w:val="00E43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A04"/>
  </w:style>
  <w:style w:type="paragraph" w:styleId="Footer">
    <w:name w:val="footer"/>
    <w:basedOn w:val="Normal"/>
    <w:link w:val="FooterChar"/>
    <w:uiPriority w:val="99"/>
    <w:unhideWhenUsed/>
    <w:rsid w:val="00E43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A04"/>
  </w:style>
  <w:style w:type="paragraph" w:styleId="BalloonText">
    <w:name w:val="Balloon Text"/>
    <w:basedOn w:val="Normal"/>
    <w:link w:val="BalloonTextChar"/>
    <w:uiPriority w:val="99"/>
    <w:semiHidden/>
    <w:unhideWhenUsed/>
    <w:rsid w:val="00707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ndgeneral.com/wessexwa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nsions@wessexwater.co.uk" TargetMode="External"/><Relationship Id="rId4" Type="http://schemas.openxmlformats.org/officeDocument/2006/relationships/settings" Target="settings.xml"/><Relationship Id="rId9" Type="http://schemas.openxmlformats.org/officeDocument/2006/relationships/hyperlink" Target="http://www.unbias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5584-5E7D-4A4E-A811-DDA33C20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Wessex Water</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Wyatt</dc:creator>
  <cp:keywords/>
  <dc:description/>
  <cp:lastModifiedBy>Emily Horwood</cp:lastModifiedBy>
  <cp:revision>3</cp:revision>
  <cp:lastPrinted>2018-02-13T09:20:00Z</cp:lastPrinted>
  <dcterms:created xsi:type="dcterms:W3CDTF">2018-06-20T08:29:00Z</dcterms:created>
  <dcterms:modified xsi:type="dcterms:W3CDTF">2018-08-09T15:16:00Z</dcterms:modified>
</cp:coreProperties>
</file>